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E1D" w:rsidRPr="00EA2D8B" w:rsidRDefault="00524E1D" w:rsidP="001D6862">
      <w:pPr>
        <w:spacing w:before="0" w:after="0" w:line="19" w:lineRule="atLeast"/>
        <w:jc w:val="center"/>
        <w:rPr>
          <w:rFonts w:ascii="Tahoma" w:hAnsi="Tahoma" w:cs="Tahoma"/>
          <w:b/>
        </w:rPr>
      </w:pPr>
      <w:bookmarkStart w:id="0" w:name="_GoBack"/>
      <w:bookmarkEnd w:id="0"/>
      <w:r w:rsidRPr="00EA2D8B">
        <w:rPr>
          <w:rFonts w:ascii="Tahoma" w:hAnsi="Tahoma" w:cs="Tahoma"/>
          <w:b/>
        </w:rPr>
        <w:t>INFORME FISCAL Y FINANCIERO</w:t>
      </w:r>
    </w:p>
    <w:p w:rsidR="00524E1D" w:rsidRPr="00EA2D8B" w:rsidRDefault="00524E1D" w:rsidP="001D6862">
      <w:pPr>
        <w:spacing w:before="0" w:after="0" w:line="19" w:lineRule="atLeast"/>
        <w:jc w:val="center"/>
        <w:rPr>
          <w:rFonts w:ascii="Tahoma" w:hAnsi="Tahoma" w:cs="Tahoma"/>
          <w:b/>
        </w:rPr>
      </w:pPr>
      <w:r w:rsidRPr="00EA2D8B">
        <w:rPr>
          <w:rFonts w:ascii="Tahoma" w:hAnsi="Tahoma" w:cs="Tahoma"/>
          <w:b/>
        </w:rPr>
        <w:t xml:space="preserve">MUNICIPIO DE </w:t>
      </w:r>
      <w:r w:rsidR="008A0307">
        <w:rPr>
          <w:rFonts w:ascii="Tahoma" w:hAnsi="Tahoma" w:cs="Tahoma"/>
          <w:b/>
        </w:rPr>
        <w:t>LERIDA</w:t>
      </w:r>
    </w:p>
    <w:p w:rsidR="00524E1D" w:rsidRPr="00EA2D8B" w:rsidRDefault="00394BA1" w:rsidP="001D6862">
      <w:pPr>
        <w:spacing w:before="0" w:after="0" w:line="19" w:lineRule="atLeast"/>
        <w:jc w:val="center"/>
        <w:rPr>
          <w:rFonts w:ascii="Tahoma" w:hAnsi="Tahoma" w:cs="Tahoma"/>
          <w:b/>
        </w:rPr>
      </w:pPr>
      <w:r>
        <w:rPr>
          <w:rFonts w:ascii="Tahoma" w:hAnsi="Tahoma" w:cs="Tahoma"/>
          <w:b/>
        </w:rPr>
        <w:t xml:space="preserve"> VIGENCIA 2015</w:t>
      </w:r>
    </w:p>
    <w:p w:rsidR="00524E1D" w:rsidRDefault="00524E1D" w:rsidP="001D6862">
      <w:pPr>
        <w:spacing w:before="0" w:after="0" w:line="19" w:lineRule="atLeast"/>
        <w:rPr>
          <w:rFonts w:ascii="Tahoma" w:hAnsi="Tahoma" w:cs="Tahoma"/>
          <w:sz w:val="16"/>
        </w:rPr>
      </w:pPr>
    </w:p>
    <w:p w:rsidR="00E60742" w:rsidRDefault="00FD082E" w:rsidP="00FD082E">
      <w:pPr>
        <w:pStyle w:val="Ttulo1"/>
        <w:tabs>
          <w:tab w:val="left" w:pos="5664"/>
        </w:tabs>
        <w:spacing w:before="0" w:after="0" w:line="19" w:lineRule="atLeast"/>
        <w:jc w:val="both"/>
        <w:rPr>
          <w:rFonts w:ascii="Tahoma" w:hAnsi="Tahoma" w:cs="Tahoma"/>
          <w:b w:val="0"/>
          <w:sz w:val="22"/>
          <w:szCs w:val="22"/>
        </w:rPr>
      </w:pPr>
      <w:r>
        <w:rPr>
          <w:rFonts w:ascii="Tahoma" w:hAnsi="Tahoma" w:cs="Tahoma"/>
          <w:b w:val="0"/>
          <w:sz w:val="22"/>
          <w:szCs w:val="22"/>
        </w:rPr>
        <w:tab/>
      </w:r>
    </w:p>
    <w:p w:rsidR="009D4B99" w:rsidRDefault="009D4B99" w:rsidP="00AD0C4B">
      <w:pPr>
        <w:pStyle w:val="Ttulo1"/>
        <w:spacing w:before="0" w:after="0" w:line="19" w:lineRule="atLeast"/>
        <w:jc w:val="both"/>
        <w:rPr>
          <w:rFonts w:ascii="Tahoma" w:hAnsi="Tahoma" w:cs="Tahoma"/>
          <w:b w:val="0"/>
          <w:sz w:val="22"/>
          <w:szCs w:val="22"/>
        </w:rPr>
      </w:pPr>
      <w:r w:rsidRPr="009D4B99">
        <w:rPr>
          <w:rFonts w:ascii="Tahoma" w:hAnsi="Tahoma" w:cs="Tahoma"/>
          <w:b w:val="0"/>
          <w:sz w:val="22"/>
          <w:szCs w:val="22"/>
        </w:rPr>
        <w:t xml:space="preserve">El análisis practicado se efectuó sobre el resultado de la ejecución presupuestal de Ingresos y </w:t>
      </w:r>
      <w:r w:rsidR="00AD0C4B">
        <w:rPr>
          <w:rFonts w:ascii="Tahoma" w:hAnsi="Tahoma" w:cs="Tahoma"/>
          <w:b w:val="0"/>
          <w:sz w:val="22"/>
          <w:szCs w:val="22"/>
        </w:rPr>
        <w:t>Gastos de la vigencia 2015</w:t>
      </w:r>
      <w:r w:rsidRPr="009D4B99">
        <w:rPr>
          <w:rFonts w:ascii="Tahoma" w:hAnsi="Tahoma" w:cs="Tahoma"/>
          <w:b w:val="0"/>
          <w:sz w:val="22"/>
          <w:szCs w:val="22"/>
        </w:rPr>
        <w:t xml:space="preserve">, estableciendo un </w:t>
      </w:r>
      <w:r>
        <w:rPr>
          <w:rFonts w:ascii="Tahoma" w:hAnsi="Tahoma" w:cs="Tahoma"/>
          <w:b w:val="0"/>
          <w:sz w:val="22"/>
          <w:szCs w:val="22"/>
        </w:rPr>
        <w:t>comparativo con la vigencia 2014.</w:t>
      </w:r>
    </w:p>
    <w:p w:rsidR="009D4B99" w:rsidRDefault="00F10463" w:rsidP="00736B63">
      <w:pPr>
        <w:tabs>
          <w:tab w:val="left" w:pos="3453"/>
          <w:tab w:val="left" w:pos="7344"/>
        </w:tabs>
        <w:rPr>
          <w:lang w:val="es-ES" w:eastAsia="es-ES"/>
        </w:rPr>
      </w:pPr>
      <w:r>
        <w:rPr>
          <w:lang w:val="es-ES" w:eastAsia="es-ES"/>
        </w:rPr>
        <w:tab/>
      </w:r>
      <w:r w:rsidR="00736B63">
        <w:rPr>
          <w:lang w:val="es-ES" w:eastAsia="es-ES"/>
        </w:rPr>
        <w:tab/>
      </w:r>
    </w:p>
    <w:p w:rsidR="009D4B99" w:rsidRPr="00231ECA" w:rsidRDefault="009D4B99" w:rsidP="009D4B99">
      <w:pPr>
        <w:jc w:val="both"/>
        <w:rPr>
          <w:rFonts w:ascii="Tahoma" w:hAnsi="Tahoma" w:cs="Tahoma"/>
          <w:color w:val="000000" w:themeColor="text1"/>
        </w:rPr>
      </w:pPr>
      <w:r w:rsidRPr="00231ECA">
        <w:rPr>
          <w:rFonts w:ascii="Tahoma" w:hAnsi="Tahoma" w:cs="Tahoma"/>
          <w:color w:val="000000" w:themeColor="text1"/>
        </w:rPr>
        <w:t>Para el estudio y análisis del informe, se tomó como base la Información presupuestal del Sistema Consolidador de Hacienda e Info</w:t>
      </w:r>
      <w:r w:rsidR="00EC36EF" w:rsidRPr="00231ECA">
        <w:rPr>
          <w:rFonts w:ascii="Tahoma" w:hAnsi="Tahoma" w:cs="Tahoma"/>
          <w:color w:val="000000" w:themeColor="text1"/>
        </w:rPr>
        <w:t>rmación Financiera Pública Chip</w:t>
      </w:r>
      <w:r w:rsidR="00485A4C" w:rsidRPr="00231ECA">
        <w:rPr>
          <w:rFonts w:ascii="Tahoma" w:hAnsi="Tahoma" w:cs="Tahoma"/>
          <w:color w:val="000000" w:themeColor="text1"/>
        </w:rPr>
        <w:t xml:space="preserve">, información de la Contraloría General de la República y la </w:t>
      </w:r>
      <w:r w:rsidR="00EC36EF" w:rsidRPr="00231ECA">
        <w:rPr>
          <w:rFonts w:ascii="Tahoma" w:hAnsi="Tahoma" w:cs="Tahoma"/>
          <w:color w:val="000000" w:themeColor="text1"/>
        </w:rPr>
        <w:t>información presupuestal suministrada por el ente Territorial.</w:t>
      </w:r>
    </w:p>
    <w:p w:rsidR="00BD4C82" w:rsidRPr="00231ECA" w:rsidRDefault="00BD4C82" w:rsidP="00BD4C82">
      <w:pPr>
        <w:jc w:val="center"/>
        <w:rPr>
          <w:rFonts w:ascii="Tahoma" w:hAnsi="Tahoma" w:cs="Tahoma"/>
          <w:b/>
          <w:color w:val="000000" w:themeColor="text1"/>
        </w:rPr>
      </w:pPr>
      <w:r w:rsidRPr="00231ECA">
        <w:rPr>
          <w:rFonts w:ascii="Tahoma" w:hAnsi="Tahoma" w:cs="Tahoma"/>
          <w:b/>
          <w:color w:val="000000" w:themeColor="text1"/>
        </w:rPr>
        <w:t>CAPITULO 1</w:t>
      </w:r>
    </w:p>
    <w:p w:rsidR="005C0DCB" w:rsidRPr="00231ECA" w:rsidRDefault="00B97B3B" w:rsidP="00B97B3B">
      <w:pPr>
        <w:tabs>
          <w:tab w:val="left" w:pos="1573"/>
          <w:tab w:val="left" w:pos="2616"/>
          <w:tab w:val="center" w:pos="4420"/>
        </w:tabs>
        <w:rPr>
          <w:rFonts w:ascii="Tahoma" w:hAnsi="Tahoma" w:cs="Tahoma"/>
          <w:b/>
          <w:color w:val="000000" w:themeColor="text1"/>
        </w:rPr>
      </w:pPr>
      <w:r w:rsidRPr="00231ECA">
        <w:rPr>
          <w:rFonts w:ascii="Tahoma" w:hAnsi="Tahoma" w:cs="Tahoma"/>
          <w:b/>
          <w:color w:val="000000" w:themeColor="text1"/>
        </w:rPr>
        <w:t>LEGALIDAD Y APROBACION DEL PRESUPUESTO</w:t>
      </w:r>
    </w:p>
    <w:p w:rsidR="004F758C" w:rsidRPr="00231ECA" w:rsidRDefault="004F758C" w:rsidP="004F758C">
      <w:pPr>
        <w:rPr>
          <w:rFonts w:ascii="Tahoma" w:hAnsi="Tahoma" w:cs="Tahoma"/>
          <w:lang w:val="es-ES" w:eastAsia="es-ES"/>
        </w:rPr>
      </w:pPr>
    </w:p>
    <w:p w:rsidR="009B38B1" w:rsidRPr="00231ECA" w:rsidRDefault="00524E1D" w:rsidP="00AD0C4B">
      <w:pPr>
        <w:pStyle w:val="Ttulo1"/>
        <w:numPr>
          <w:ilvl w:val="0"/>
          <w:numId w:val="2"/>
        </w:numPr>
        <w:spacing w:before="0" w:after="0" w:line="19" w:lineRule="atLeast"/>
        <w:rPr>
          <w:rFonts w:ascii="Tahoma" w:hAnsi="Tahoma" w:cs="Tahoma"/>
          <w:sz w:val="22"/>
          <w:szCs w:val="22"/>
        </w:rPr>
      </w:pPr>
      <w:r w:rsidRPr="00231ECA">
        <w:rPr>
          <w:rFonts w:ascii="Tahoma" w:hAnsi="Tahoma" w:cs="Tahoma"/>
          <w:sz w:val="22"/>
          <w:szCs w:val="22"/>
        </w:rPr>
        <w:t>APROBACIÓN DEL PRESUPUESTO</w:t>
      </w:r>
    </w:p>
    <w:p w:rsidR="00AD0C4B" w:rsidRPr="00231ECA" w:rsidRDefault="00AD0C4B" w:rsidP="001D6862">
      <w:pPr>
        <w:tabs>
          <w:tab w:val="left" w:pos="2835"/>
        </w:tabs>
        <w:spacing w:before="0" w:after="0" w:line="19" w:lineRule="atLeast"/>
        <w:jc w:val="both"/>
        <w:rPr>
          <w:rFonts w:ascii="Tahoma" w:hAnsi="Tahoma" w:cs="Tahoma"/>
          <w:color w:val="auto"/>
        </w:rPr>
      </w:pPr>
    </w:p>
    <w:p w:rsidR="00EC36EF" w:rsidRPr="00231ECA" w:rsidRDefault="00524E1D" w:rsidP="00231ECA">
      <w:pPr>
        <w:tabs>
          <w:tab w:val="left" w:pos="2835"/>
        </w:tabs>
        <w:spacing w:before="0" w:after="0" w:line="19" w:lineRule="atLeast"/>
        <w:jc w:val="both"/>
        <w:rPr>
          <w:rFonts w:ascii="Tahoma" w:hAnsi="Tahoma" w:cs="Tahoma"/>
          <w:color w:val="auto"/>
        </w:rPr>
      </w:pPr>
      <w:r w:rsidRPr="00231ECA">
        <w:rPr>
          <w:rFonts w:ascii="Tahoma" w:hAnsi="Tahoma" w:cs="Tahoma"/>
          <w:color w:val="auto"/>
        </w:rPr>
        <w:t xml:space="preserve">El </w:t>
      </w:r>
      <w:r w:rsidR="00EC36EF" w:rsidRPr="00231ECA">
        <w:rPr>
          <w:rFonts w:ascii="Tahoma" w:hAnsi="Tahoma" w:cs="Tahoma"/>
          <w:color w:val="auto"/>
        </w:rPr>
        <w:t>presupuesto de Rentas y Recursos de Capita</w:t>
      </w:r>
      <w:r w:rsidR="006A0F41" w:rsidRPr="00231ECA">
        <w:rPr>
          <w:rFonts w:ascii="Tahoma" w:hAnsi="Tahoma" w:cs="Tahoma"/>
          <w:color w:val="auto"/>
        </w:rPr>
        <w:t xml:space="preserve">l y Gastos de la vigencia 2015 </w:t>
      </w:r>
      <w:r w:rsidR="00EC36EF" w:rsidRPr="00231ECA">
        <w:rPr>
          <w:rFonts w:ascii="Tahoma" w:hAnsi="Tahoma" w:cs="Tahoma"/>
          <w:color w:val="auto"/>
        </w:rPr>
        <w:t xml:space="preserve">del Municipio de </w:t>
      </w:r>
      <w:r w:rsidR="008A0307" w:rsidRPr="00231ECA">
        <w:rPr>
          <w:rFonts w:ascii="Tahoma" w:hAnsi="Tahoma" w:cs="Tahoma"/>
          <w:color w:val="auto"/>
        </w:rPr>
        <w:t>Lérida</w:t>
      </w:r>
      <w:r w:rsidR="00EC36EF" w:rsidRPr="00231ECA">
        <w:rPr>
          <w:rFonts w:ascii="Tahoma" w:hAnsi="Tahoma" w:cs="Tahoma"/>
          <w:color w:val="auto"/>
        </w:rPr>
        <w:t xml:space="preserve">, fue aprobado por el </w:t>
      </w:r>
      <w:r w:rsidRPr="00231ECA">
        <w:rPr>
          <w:rFonts w:ascii="Tahoma" w:hAnsi="Tahoma" w:cs="Tahoma"/>
          <w:color w:val="auto"/>
        </w:rPr>
        <w:t>Concejo Municipal mediante Acuerdo No.</w:t>
      </w:r>
      <w:r w:rsidR="00AD0C4B" w:rsidRPr="00231ECA">
        <w:rPr>
          <w:rFonts w:ascii="Tahoma" w:hAnsi="Tahoma" w:cs="Tahoma"/>
          <w:color w:val="auto"/>
        </w:rPr>
        <w:t xml:space="preserve"> </w:t>
      </w:r>
      <w:r w:rsidR="007F40C8" w:rsidRPr="00231ECA">
        <w:rPr>
          <w:rFonts w:ascii="Tahoma" w:hAnsi="Tahoma" w:cs="Tahoma"/>
          <w:color w:val="auto"/>
        </w:rPr>
        <w:t xml:space="preserve">012 </w:t>
      </w:r>
      <w:r w:rsidRPr="00231ECA">
        <w:rPr>
          <w:rFonts w:ascii="Tahoma" w:hAnsi="Tahoma" w:cs="Tahoma"/>
          <w:color w:val="auto"/>
        </w:rPr>
        <w:t>de</w:t>
      </w:r>
      <w:r w:rsidR="007F40C8" w:rsidRPr="00231ECA">
        <w:rPr>
          <w:rFonts w:ascii="Tahoma" w:hAnsi="Tahoma" w:cs="Tahoma"/>
          <w:color w:val="auto"/>
        </w:rPr>
        <w:t>l 4 de</w:t>
      </w:r>
      <w:r w:rsidR="006D7C83" w:rsidRPr="00231ECA">
        <w:rPr>
          <w:rFonts w:ascii="Tahoma" w:hAnsi="Tahoma" w:cs="Tahoma"/>
          <w:color w:val="auto"/>
        </w:rPr>
        <w:t xml:space="preserve"> </w:t>
      </w:r>
      <w:r w:rsidR="00302682" w:rsidRPr="00231ECA">
        <w:rPr>
          <w:rFonts w:ascii="Tahoma" w:hAnsi="Tahoma" w:cs="Tahoma"/>
          <w:color w:val="auto"/>
        </w:rPr>
        <w:t xml:space="preserve">Diciembre </w:t>
      </w:r>
      <w:r w:rsidR="007F40C8" w:rsidRPr="00231ECA">
        <w:rPr>
          <w:rFonts w:ascii="Tahoma" w:hAnsi="Tahoma" w:cs="Tahoma"/>
          <w:color w:val="auto"/>
        </w:rPr>
        <w:t>de</w:t>
      </w:r>
      <w:r w:rsidR="006D7C83" w:rsidRPr="00231ECA">
        <w:rPr>
          <w:rFonts w:ascii="Tahoma" w:hAnsi="Tahoma" w:cs="Tahoma"/>
          <w:color w:val="auto"/>
        </w:rPr>
        <w:t xml:space="preserve"> 201</w:t>
      </w:r>
      <w:r w:rsidR="00AD0C4B" w:rsidRPr="00231ECA">
        <w:rPr>
          <w:rFonts w:ascii="Tahoma" w:hAnsi="Tahoma" w:cs="Tahoma"/>
          <w:color w:val="auto"/>
        </w:rPr>
        <w:t>4</w:t>
      </w:r>
      <w:r w:rsidR="006D7C83" w:rsidRPr="00231ECA">
        <w:rPr>
          <w:rFonts w:ascii="Tahoma" w:hAnsi="Tahoma" w:cs="Tahoma"/>
          <w:color w:val="auto"/>
        </w:rPr>
        <w:t xml:space="preserve"> </w:t>
      </w:r>
      <w:r w:rsidR="00EC36EF" w:rsidRPr="00231ECA">
        <w:rPr>
          <w:rFonts w:ascii="Tahoma" w:hAnsi="Tahoma" w:cs="Tahoma"/>
          <w:color w:val="auto"/>
        </w:rPr>
        <w:t>y liquidado por el Alcalde Mun</w:t>
      </w:r>
      <w:r w:rsidR="007F40C8" w:rsidRPr="00231ECA">
        <w:rPr>
          <w:rFonts w:ascii="Tahoma" w:hAnsi="Tahoma" w:cs="Tahoma"/>
          <w:color w:val="auto"/>
        </w:rPr>
        <w:t>icipal mediante Decreto número 186</w:t>
      </w:r>
      <w:r w:rsidR="00EC36EF" w:rsidRPr="00231ECA">
        <w:rPr>
          <w:rFonts w:ascii="Tahoma" w:hAnsi="Tahoma" w:cs="Tahoma"/>
          <w:color w:val="auto"/>
        </w:rPr>
        <w:t xml:space="preserve">   del </w:t>
      </w:r>
      <w:r w:rsidR="007F40C8" w:rsidRPr="00231ECA">
        <w:rPr>
          <w:rFonts w:ascii="Tahoma" w:hAnsi="Tahoma" w:cs="Tahoma"/>
          <w:color w:val="auto"/>
        </w:rPr>
        <w:t>22</w:t>
      </w:r>
      <w:r w:rsidR="00EC36EF" w:rsidRPr="00231ECA">
        <w:rPr>
          <w:rFonts w:ascii="Tahoma" w:hAnsi="Tahoma" w:cs="Tahoma"/>
          <w:color w:val="auto"/>
        </w:rPr>
        <w:t xml:space="preserve"> de Diciembre de 2014, </w:t>
      </w:r>
      <w:r w:rsidR="006A0F41" w:rsidRPr="00231ECA">
        <w:rPr>
          <w:rFonts w:ascii="Tahoma" w:hAnsi="Tahoma" w:cs="Tahoma"/>
          <w:color w:val="auto"/>
        </w:rPr>
        <w:t>en la suma de</w:t>
      </w:r>
      <w:r w:rsidR="006A0F41" w:rsidRPr="00231ECA">
        <w:rPr>
          <w:rFonts w:ascii="Tahoma" w:hAnsi="Tahoma" w:cs="Tahoma"/>
          <w:b/>
          <w:color w:val="auto"/>
        </w:rPr>
        <w:t xml:space="preserve">  </w:t>
      </w:r>
      <w:r w:rsidR="005B6E10" w:rsidRPr="00231ECA">
        <w:rPr>
          <w:rFonts w:ascii="Tahoma" w:hAnsi="Tahoma" w:cs="Tahoma"/>
          <w:b/>
          <w:color w:val="auto"/>
        </w:rPr>
        <w:t>TRECE</w:t>
      </w:r>
      <w:r w:rsidR="006A0F41" w:rsidRPr="00231ECA">
        <w:rPr>
          <w:rFonts w:ascii="Tahoma" w:hAnsi="Tahoma" w:cs="Tahoma"/>
          <w:b/>
          <w:color w:val="auto"/>
        </w:rPr>
        <w:t xml:space="preserve"> MIL </w:t>
      </w:r>
      <w:r w:rsidR="005B6E10" w:rsidRPr="00231ECA">
        <w:rPr>
          <w:rFonts w:ascii="Tahoma" w:hAnsi="Tahoma" w:cs="Tahoma"/>
          <w:b/>
          <w:color w:val="auto"/>
        </w:rPr>
        <w:t xml:space="preserve">SEISCIENTOS CINCO </w:t>
      </w:r>
      <w:r w:rsidR="006A0F41" w:rsidRPr="00231ECA">
        <w:rPr>
          <w:rFonts w:ascii="Tahoma" w:hAnsi="Tahoma" w:cs="Tahoma"/>
          <w:b/>
          <w:color w:val="auto"/>
        </w:rPr>
        <w:t xml:space="preserve"> MILLONES </w:t>
      </w:r>
      <w:r w:rsidR="005B6E10" w:rsidRPr="00231ECA">
        <w:rPr>
          <w:rFonts w:ascii="Tahoma" w:hAnsi="Tahoma" w:cs="Tahoma"/>
          <w:b/>
          <w:color w:val="auto"/>
        </w:rPr>
        <w:t>CIENTO OCHENTA Y CUATRO MIL CUATROCIENTOS CINCUENTA Y CINCO PESOS</w:t>
      </w:r>
      <w:r w:rsidR="006A0F41" w:rsidRPr="00231ECA">
        <w:rPr>
          <w:rFonts w:ascii="Tahoma" w:hAnsi="Tahoma" w:cs="Tahoma"/>
          <w:b/>
          <w:color w:val="auto"/>
        </w:rPr>
        <w:t xml:space="preserve"> M/CTE ($</w:t>
      </w:r>
      <w:r w:rsidR="005B6E10" w:rsidRPr="00231ECA">
        <w:rPr>
          <w:rFonts w:ascii="Tahoma" w:hAnsi="Tahoma" w:cs="Tahoma"/>
          <w:b/>
          <w:color w:val="auto"/>
        </w:rPr>
        <w:t>13.605</w:t>
      </w:r>
      <w:r w:rsidR="006A0F41" w:rsidRPr="00231ECA">
        <w:rPr>
          <w:rFonts w:ascii="Tahoma" w:hAnsi="Tahoma" w:cs="Tahoma"/>
          <w:b/>
          <w:color w:val="auto"/>
        </w:rPr>
        <w:t>.</w:t>
      </w:r>
      <w:r w:rsidR="005B6E10" w:rsidRPr="00231ECA">
        <w:rPr>
          <w:rFonts w:ascii="Tahoma" w:hAnsi="Tahoma" w:cs="Tahoma"/>
          <w:b/>
          <w:color w:val="auto"/>
        </w:rPr>
        <w:t>184.455.</w:t>
      </w:r>
      <w:r w:rsidR="006A0F41" w:rsidRPr="00231ECA">
        <w:rPr>
          <w:rFonts w:ascii="Tahoma" w:hAnsi="Tahoma" w:cs="Tahoma"/>
          <w:b/>
          <w:color w:val="auto"/>
        </w:rPr>
        <w:t>oo).</w:t>
      </w:r>
      <w:r w:rsidR="00E85A59" w:rsidRPr="00231ECA">
        <w:rPr>
          <w:rFonts w:ascii="Tahoma" w:hAnsi="Tahoma" w:cs="Tahoma"/>
          <w:b/>
          <w:color w:val="auto"/>
        </w:rPr>
        <w:t xml:space="preserve">  </w:t>
      </w:r>
      <w:r w:rsidR="00504C03" w:rsidRPr="00231ECA">
        <w:rPr>
          <w:rFonts w:ascii="Tahoma" w:hAnsi="Tahoma" w:cs="Tahoma"/>
          <w:color w:val="auto"/>
        </w:rPr>
        <w:tab/>
      </w:r>
    </w:p>
    <w:p w:rsidR="00231ECA" w:rsidRDefault="00231ECA" w:rsidP="001D6862">
      <w:pPr>
        <w:spacing w:before="0" w:after="0" w:line="228" w:lineRule="auto"/>
        <w:jc w:val="center"/>
        <w:rPr>
          <w:rFonts w:ascii="Tahoma" w:hAnsi="Tahoma" w:cs="Tahoma"/>
          <w:b/>
        </w:rPr>
      </w:pPr>
    </w:p>
    <w:p w:rsidR="00231ECA" w:rsidRDefault="00231ECA" w:rsidP="001D6862">
      <w:pPr>
        <w:spacing w:before="0" w:after="0" w:line="228" w:lineRule="auto"/>
        <w:jc w:val="center"/>
        <w:rPr>
          <w:rFonts w:ascii="Tahoma" w:hAnsi="Tahoma" w:cs="Tahoma"/>
          <w:b/>
        </w:rPr>
      </w:pPr>
    </w:p>
    <w:p w:rsidR="00153A3B" w:rsidRPr="00231ECA" w:rsidRDefault="005C0DCB" w:rsidP="001D6862">
      <w:pPr>
        <w:spacing w:before="0" w:after="0" w:line="228" w:lineRule="auto"/>
        <w:jc w:val="center"/>
        <w:rPr>
          <w:rFonts w:ascii="Tahoma" w:hAnsi="Tahoma" w:cs="Tahoma"/>
          <w:b/>
        </w:rPr>
      </w:pPr>
      <w:r w:rsidRPr="00231ECA">
        <w:rPr>
          <w:rFonts w:ascii="Tahoma" w:hAnsi="Tahoma" w:cs="Tahoma"/>
          <w:b/>
        </w:rPr>
        <w:t>CAPITULO 2</w:t>
      </w:r>
    </w:p>
    <w:p w:rsidR="005C0DCB" w:rsidRPr="00231ECA" w:rsidRDefault="005C0DCB" w:rsidP="001D6862">
      <w:pPr>
        <w:spacing w:before="0" w:after="0" w:line="228" w:lineRule="auto"/>
        <w:jc w:val="center"/>
        <w:rPr>
          <w:rFonts w:ascii="Tahoma" w:hAnsi="Tahoma" w:cs="Tahoma"/>
          <w:b/>
        </w:rPr>
      </w:pPr>
    </w:p>
    <w:p w:rsidR="00524E1D" w:rsidRPr="00231ECA" w:rsidRDefault="00524E1D" w:rsidP="00C03A42">
      <w:pPr>
        <w:pStyle w:val="Prrafodelista"/>
        <w:numPr>
          <w:ilvl w:val="0"/>
          <w:numId w:val="2"/>
        </w:numPr>
        <w:spacing w:before="0" w:after="0" w:line="228" w:lineRule="auto"/>
        <w:rPr>
          <w:rFonts w:ascii="Tahoma" w:hAnsi="Tahoma" w:cs="Tahoma"/>
          <w:b/>
        </w:rPr>
      </w:pPr>
      <w:r w:rsidRPr="00231ECA">
        <w:rPr>
          <w:rFonts w:ascii="Tahoma" w:hAnsi="Tahoma" w:cs="Tahoma"/>
          <w:b/>
        </w:rPr>
        <w:t>EJECUCION DEL PRESUPUESTO</w:t>
      </w:r>
    </w:p>
    <w:p w:rsidR="00577ABF" w:rsidRPr="00231ECA" w:rsidRDefault="00577ABF" w:rsidP="00577ABF">
      <w:pPr>
        <w:spacing w:before="0" w:after="0" w:line="228" w:lineRule="auto"/>
        <w:rPr>
          <w:rFonts w:ascii="Tahoma" w:hAnsi="Tahoma" w:cs="Tahoma"/>
          <w:b/>
        </w:rPr>
      </w:pPr>
    </w:p>
    <w:p w:rsidR="00EF0F9F" w:rsidRPr="00231ECA" w:rsidRDefault="00153A3B" w:rsidP="00EF0F9F">
      <w:pPr>
        <w:autoSpaceDE w:val="0"/>
        <w:autoSpaceDN w:val="0"/>
        <w:adjustRightInd w:val="0"/>
        <w:spacing w:before="0" w:after="0"/>
        <w:jc w:val="both"/>
        <w:rPr>
          <w:rFonts w:ascii="Tahoma" w:hAnsi="Tahoma" w:cs="Tahoma"/>
          <w:b/>
        </w:rPr>
      </w:pPr>
      <w:r w:rsidRPr="00231ECA">
        <w:rPr>
          <w:rFonts w:ascii="Tahoma" w:eastAsiaTheme="minorHAnsi" w:hAnsi="Tahoma" w:cs="Tahoma"/>
          <w:color w:val="auto"/>
          <w:lang w:eastAsia="en-US"/>
        </w:rPr>
        <w:t>El presupuesto Municipal, es por excelencia una de las principales herramientas de planeación</w:t>
      </w:r>
      <w:r w:rsidR="00AE23D3" w:rsidRPr="00231ECA">
        <w:rPr>
          <w:rFonts w:ascii="Tahoma" w:eastAsiaTheme="minorHAnsi" w:hAnsi="Tahoma" w:cs="Tahoma"/>
          <w:color w:val="auto"/>
          <w:lang w:eastAsia="en-US"/>
        </w:rPr>
        <w:t xml:space="preserve"> </w:t>
      </w:r>
      <w:r w:rsidR="00D27BCA" w:rsidRPr="00231ECA">
        <w:rPr>
          <w:rFonts w:ascii="Tahoma" w:eastAsiaTheme="minorHAnsi" w:hAnsi="Tahoma" w:cs="Tahoma"/>
          <w:color w:val="auto"/>
          <w:lang w:eastAsia="en-US"/>
        </w:rPr>
        <w:t xml:space="preserve">y en él se </w:t>
      </w:r>
      <w:r w:rsidR="00CA669B" w:rsidRPr="00231ECA">
        <w:rPr>
          <w:rFonts w:ascii="Tahoma" w:eastAsiaTheme="minorHAnsi" w:hAnsi="Tahoma" w:cs="Tahoma"/>
          <w:color w:val="auto"/>
          <w:lang w:eastAsia="en-US"/>
        </w:rPr>
        <w:t>deben</w:t>
      </w:r>
      <w:r w:rsidR="00D27BCA" w:rsidRPr="00231ECA">
        <w:rPr>
          <w:rFonts w:ascii="Tahoma" w:eastAsiaTheme="minorHAnsi" w:hAnsi="Tahoma" w:cs="Tahoma"/>
          <w:color w:val="auto"/>
          <w:lang w:eastAsia="en-US"/>
        </w:rPr>
        <w:t xml:space="preserve"> </w:t>
      </w:r>
      <w:r w:rsidR="00EF0F9F" w:rsidRPr="00231ECA">
        <w:rPr>
          <w:rFonts w:ascii="Tahoma" w:eastAsiaTheme="minorHAnsi" w:hAnsi="Tahoma" w:cs="Tahoma"/>
          <w:color w:val="auto"/>
          <w:lang w:eastAsia="en-US"/>
        </w:rPr>
        <w:t>Proyectar los ingresos y rentas a percibir durante la vigencia fiscal y autorizar los respectivos gastos e inversiones; Atender criterios de prioridad, de los programas y proyectos contenidos en el Plan de Desarrollo, y</w:t>
      </w:r>
      <w:r w:rsidR="00CA669B" w:rsidRPr="00231ECA">
        <w:rPr>
          <w:rFonts w:ascii="Tahoma" w:eastAsiaTheme="minorHAnsi" w:hAnsi="Tahoma" w:cs="Tahoma"/>
          <w:color w:val="auto"/>
          <w:lang w:eastAsia="en-US"/>
        </w:rPr>
        <w:t xml:space="preserve"> </w:t>
      </w:r>
      <w:r w:rsidR="00EF0F9F" w:rsidRPr="00231ECA">
        <w:rPr>
          <w:rFonts w:ascii="Tahoma" w:eastAsiaTheme="minorHAnsi" w:hAnsi="Tahoma" w:cs="Tahoma"/>
          <w:color w:val="auto"/>
          <w:lang w:eastAsia="en-US"/>
        </w:rPr>
        <w:t>Alcanzar objetivos financieros, que no son otra cosa que adecuar el comportamiento real de los ingresos a las proyecciones contenidas en el Plan de Desarrollo.</w:t>
      </w:r>
    </w:p>
    <w:p w:rsidR="005C0DCB" w:rsidRPr="00231ECA" w:rsidRDefault="005C0DCB" w:rsidP="005C0DCB">
      <w:pPr>
        <w:tabs>
          <w:tab w:val="left" w:pos="7907"/>
        </w:tabs>
        <w:spacing w:before="0" w:after="0" w:line="228" w:lineRule="auto"/>
        <w:jc w:val="both"/>
        <w:rPr>
          <w:rFonts w:ascii="Tahoma" w:hAnsi="Tahoma" w:cs="Tahoma"/>
          <w:b/>
        </w:rPr>
      </w:pPr>
    </w:p>
    <w:p w:rsidR="005C0DCB" w:rsidRPr="00231ECA" w:rsidRDefault="005C0DCB" w:rsidP="005C0DCB">
      <w:pPr>
        <w:tabs>
          <w:tab w:val="left" w:pos="7907"/>
        </w:tabs>
        <w:spacing w:before="0" w:after="0" w:line="228" w:lineRule="auto"/>
        <w:jc w:val="both"/>
        <w:rPr>
          <w:rFonts w:ascii="Tahoma" w:hAnsi="Tahoma" w:cs="Tahoma"/>
        </w:rPr>
      </w:pPr>
    </w:p>
    <w:p w:rsidR="009848DF" w:rsidRPr="00231ECA" w:rsidRDefault="009848DF" w:rsidP="005C0DCB">
      <w:pPr>
        <w:tabs>
          <w:tab w:val="left" w:pos="7907"/>
        </w:tabs>
        <w:spacing w:before="0" w:after="0" w:line="228" w:lineRule="auto"/>
        <w:jc w:val="both"/>
        <w:rPr>
          <w:rFonts w:ascii="Tahoma" w:hAnsi="Tahoma" w:cs="Tahoma"/>
        </w:rPr>
      </w:pPr>
    </w:p>
    <w:p w:rsidR="009848DF" w:rsidRDefault="009848DF" w:rsidP="005C0DCB">
      <w:pPr>
        <w:tabs>
          <w:tab w:val="left" w:pos="7907"/>
        </w:tabs>
        <w:spacing w:before="0" w:after="0" w:line="228" w:lineRule="auto"/>
        <w:jc w:val="both"/>
        <w:rPr>
          <w:rFonts w:ascii="Tahoma" w:hAnsi="Tahoma" w:cs="Tahoma"/>
        </w:rPr>
      </w:pPr>
    </w:p>
    <w:p w:rsidR="00CB6D39" w:rsidRDefault="00CB6D39" w:rsidP="00DF6119">
      <w:pPr>
        <w:spacing w:before="0" w:after="0" w:line="228" w:lineRule="auto"/>
        <w:jc w:val="both"/>
        <w:rPr>
          <w:rFonts w:ascii="Tahoma" w:hAnsi="Tahoma" w:cs="Tahoma"/>
        </w:rPr>
      </w:pPr>
    </w:p>
    <w:p w:rsidR="00E566A8" w:rsidRDefault="00B212CE" w:rsidP="005220BC">
      <w:pPr>
        <w:pStyle w:val="Prrafodelista"/>
        <w:numPr>
          <w:ilvl w:val="1"/>
          <w:numId w:val="2"/>
        </w:numPr>
        <w:spacing w:before="0" w:after="0" w:line="19" w:lineRule="atLeast"/>
        <w:rPr>
          <w:rFonts w:ascii="Tahoma" w:hAnsi="Tahoma" w:cs="Tahoma"/>
          <w:b/>
        </w:rPr>
      </w:pPr>
      <w:r w:rsidRPr="009848DF">
        <w:rPr>
          <w:rFonts w:ascii="Tahoma" w:hAnsi="Tahoma" w:cs="Tahoma"/>
          <w:b/>
        </w:rPr>
        <w:t xml:space="preserve">ANALISIS A LA </w:t>
      </w:r>
      <w:r w:rsidR="00524E1D" w:rsidRPr="009848DF">
        <w:rPr>
          <w:rFonts w:ascii="Tahoma" w:hAnsi="Tahoma" w:cs="Tahoma"/>
          <w:b/>
        </w:rPr>
        <w:t xml:space="preserve">EJECUCION </w:t>
      </w:r>
      <w:r w:rsidR="00E508CB" w:rsidRPr="009848DF">
        <w:rPr>
          <w:rFonts w:ascii="Tahoma" w:hAnsi="Tahoma" w:cs="Tahoma"/>
          <w:b/>
        </w:rPr>
        <w:t xml:space="preserve"> </w:t>
      </w:r>
      <w:r w:rsidR="00524E1D" w:rsidRPr="009848DF">
        <w:rPr>
          <w:rFonts w:ascii="Tahoma" w:hAnsi="Tahoma" w:cs="Tahoma"/>
          <w:b/>
        </w:rPr>
        <w:t>PRESUPUEST</w:t>
      </w:r>
      <w:r w:rsidRPr="009848DF">
        <w:rPr>
          <w:rFonts w:ascii="Tahoma" w:hAnsi="Tahoma" w:cs="Tahoma"/>
          <w:b/>
        </w:rPr>
        <w:t xml:space="preserve">AL </w:t>
      </w:r>
      <w:r w:rsidR="00524E1D" w:rsidRPr="009848DF">
        <w:rPr>
          <w:rFonts w:ascii="Tahoma" w:hAnsi="Tahoma" w:cs="Tahoma"/>
          <w:b/>
        </w:rPr>
        <w:t xml:space="preserve">DE </w:t>
      </w:r>
      <w:r w:rsidRPr="009848DF">
        <w:rPr>
          <w:rFonts w:ascii="Tahoma" w:hAnsi="Tahoma" w:cs="Tahoma"/>
          <w:b/>
        </w:rPr>
        <w:t xml:space="preserve"> </w:t>
      </w:r>
      <w:r w:rsidR="00524E1D" w:rsidRPr="009848DF">
        <w:rPr>
          <w:rFonts w:ascii="Tahoma" w:hAnsi="Tahoma" w:cs="Tahoma"/>
          <w:b/>
        </w:rPr>
        <w:t>INGRESOS</w:t>
      </w:r>
    </w:p>
    <w:p w:rsidR="009848DF" w:rsidRDefault="009848DF" w:rsidP="009848DF">
      <w:pPr>
        <w:spacing w:before="0" w:after="0" w:line="19" w:lineRule="atLeast"/>
        <w:rPr>
          <w:rFonts w:ascii="Tahoma" w:hAnsi="Tahoma" w:cs="Tahoma"/>
          <w:b/>
        </w:rPr>
      </w:pPr>
    </w:p>
    <w:p w:rsidR="008B0625" w:rsidRDefault="008445AE" w:rsidP="009848DF">
      <w:pPr>
        <w:tabs>
          <w:tab w:val="left" w:pos="2835"/>
        </w:tabs>
        <w:spacing w:before="0" w:after="0" w:line="19" w:lineRule="atLeast"/>
        <w:jc w:val="both"/>
        <w:rPr>
          <w:rFonts w:ascii="Tahoma" w:eastAsia="Times New Roman" w:hAnsi="Tahoma" w:cs="Tahoma"/>
          <w:b/>
          <w:bCs/>
          <w:color w:val="auto"/>
        </w:rPr>
      </w:pPr>
      <w:r w:rsidRPr="005540CE">
        <w:rPr>
          <w:rFonts w:ascii="Tahoma" w:hAnsi="Tahoma" w:cs="Tahoma"/>
        </w:rPr>
        <w:t xml:space="preserve">El presupuesto </w:t>
      </w:r>
      <w:r w:rsidR="009848DF">
        <w:rPr>
          <w:rFonts w:ascii="Tahoma" w:hAnsi="Tahoma" w:cs="Tahoma"/>
        </w:rPr>
        <w:t xml:space="preserve">de Ingresos </w:t>
      </w:r>
      <w:r w:rsidR="00DA6502">
        <w:rPr>
          <w:rFonts w:ascii="Tahoma" w:hAnsi="Tahoma" w:cs="Tahoma"/>
        </w:rPr>
        <w:t>d</w:t>
      </w:r>
      <w:r w:rsidR="009848DF">
        <w:rPr>
          <w:rFonts w:ascii="Tahoma" w:hAnsi="Tahoma" w:cs="Tahoma"/>
        </w:rPr>
        <w:t xml:space="preserve">el Municipio de Lérida </w:t>
      </w:r>
      <w:r w:rsidR="00735592">
        <w:rPr>
          <w:rFonts w:ascii="Tahoma" w:hAnsi="Tahoma" w:cs="Tahoma"/>
        </w:rPr>
        <w:t xml:space="preserve">para </w:t>
      </w:r>
      <w:r w:rsidR="009848DF">
        <w:rPr>
          <w:rFonts w:ascii="Tahoma" w:hAnsi="Tahoma" w:cs="Tahoma"/>
        </w:rPr>
        <w:t xml:space="preserve">la vigencia </w:t>
      </w:r>
      <w:r w:rsidR="00E27D3B">
        <w:rPr>
          <w:rFonts w:ascii="Tahoma" w:hAnsi="Tahoma" w:cs="Tahoma"/>
        </w:rPr>
        <w:t xml:space="preserve">fiscal </w:t>
      </w:r>
      <w:r w:rsidR="009848DF">
        <w:rPr>
          <w:rFonts w:ascii="Tahoma" w:hAnsi="Tahoma" w:cs="Tahoma"/>
        </w:rPr>
        <w:t>2015</w:t>
      </w:r>
      <w:r w:rsidR="00735592">
        <w:rPr>
          <w:rFonts w:ascii="Tahoma" w:hAnsi="Tahoma" w:cs="Tahoma"/>
        </w:rPr>
        <w:t xml:space="preserve"> </w:t>
      </w:r>
      <w:r w:rsidR="009848DF">
        <w:rPr>
          <w:rFonts w:ascii="Tahoma" w:hAnsi="Tahoma" w:cs="Tahoma"/>
        </w:rPr>
        <w:t xml:space="preserve">fue </w:t>
      </w:r>
      <w:r w:rsidR="00735592">
        <w:rPr>
          <w:rFonts w:ascii="Tahoma" w:hAnsi="Tahoma" w:cs="Tahoma"/>
        </w:rPr>
        <w:t xml:space="preserve">aprobado en la </w:t>
      </w:r>
      <w:r w:rsidR="00745F39">
        <w:rPr>
          <w:rFonts w:ascii="Tahoma" w:hAnsi="Tahoma" w:cs="Tahoma"/>
        </w:rPr>
        <w:t xml:space="preserve">cuantía </w:t>
      </w:r>
      <w:r w:rsidR="009848DF">
        <w:rPr>
          <w:rFonts w:ascii="Tahoma" w:hAnsi="Tahoma" w:cs="Tahoma"/>
        </w:rPr>
        <w:t xml:space="preserve">de </w:t>
      </w:r>
      <w:r w:rsidR="009848DF" w:rsidRPr="00CA669B">
        <w:rPr>
          <w:rFonts w:ascii="Tahoma" w:hAnsi="Tahoma" w:cs="Tahoma"/>
          <w:b/>
          <w:color w:val="auto"/>
        </w:rPr>
        <w:t>$13.605.184.455.oo,</w:t>
      </w:r>
      <w:r w:rsidR="009848DF">
        <w:rPr>
          <w:rFonts w:ascii="Tahoma" w:hAnsi="Tahoma" w:cs="Tahoma"/>
          <w:b/>
          <w:color w:val="auto"/>
        </w:rPr>
        <w:t xml:space="preserve"> </w:t>
      </w:r>
      <w:r w:rsidR="009848DF" w:rsidRPr="00DA6502">
        <w:rPr>
          <w:rFonts w:ascii="Tahoma" w:hAnsi="Tahoma" w:cs="Tahoma"/>
          <w:color w:val="auto"/>
        </w:rPr>
        <w:t xml:space="preserve">presentó </w:t>
      </w:r>
      <w:r w:rsidR="00DA6502" w:rsidRPr="00DA6502">
        <w:rPr>
          <w:rFonts w:ascii="Tahoma" w:hAnsi="Tahoma" w:cs="Tahoma"/>
          <w:color w:val="auto"/>
        </w:rPr>
        <w:t>adiciones</w:t>
      </w:r>
      <w:r w:rsidR="00735592">
        <w:rPr>
          <w:rFonts w:ascii="Tahoma" w:hAnsi="Tahoma" w:cs="Tahoma"/>
          <w:color w:val="auto"/>
        </w:rPr>
        <w:t xml:space="preserve"> presupuestales por</w:t>
      </w:r>
      <w:r w:rsidR="009848DF" w:rsidRPr="00DA6502">
        <w:rPr>
          <w:rFonts w:ascii="Tahoma" w:hAnsi="Tahoma" w:cs="Tahoma"/>
          <w:color w:val="auto"/>
        </w:rPr>
        <w:t xml:space="preserve"> $</w:t>
      </w:r>
      <w:r w:rsidR="00DA6502" w:rsidRPr="00DA6502">
        <w:rPr>
          <w:rFonts w:ascii="Tahoma" w:eastAsia="Times New Roman" w:hAnsi="Tahoma" w:cs="Tahoma"/>
          <w:bCs/>
          <w:color w:val="auto"/>
        </w:rPr>
        <w:t>9.053.912.824</w:t>
      </w:r>
      <w:r w:rsidR="00E27D3B">
        <w:rPr>
          <w:rFonts w:ascii="Tahoma" w:eastAsia="Times New Roman" w:hAnsi="Tahoma" w:cs="Tahoma"/>
          <w:bCs/>
          <w:color w:val="auto"/>
        </w:rPr>
        <w:t>.</w:t>
      </w:r>
      <w:r w:rsidR="00DA6502">
        <w:rPr>
          <w:rFonts w:ascii="Tahoma" w:eastAsia="Times New Roman" w:hAnsi="Tahoma" w:cs="Tahoma"/>
          <w:bCs/>
          <w:color w:val="auto"/>
        </w:rPr>
        <w:t>oo</w:t>
      </w:r>
      <w:r w:rsidR="00735592">
        <w:rPr>
          <w:rFonts w:ascii="Tahoma" w:eastAsia="Times New Roman" w:hAnsi="Tahoma" w:cs="Tahoma"/>
          <w:bCs/>
          <w:color w:val="auto"/>
        </w:rPr>
        <w:t xml:space="preserve"> y </w:t>
      </w:r>
      <w:r w:rsidR="00DA6502">
        <w:rPr>
          <w:rFonts w:ascii="Tahoma" w:eastAsia="Times New Roman" w:hAnsi="Tahoma" w:cs="Tahoma"/>
          <w:bCs/>
          <w:color w:val="auto"/>
        </w:rPr>
        <w:t>reducciones por $18.824.950.oo, para un presupuesto definitivo a Diciembre 31 de 2015 de $</w:t>
      </w:r>
      <w:r w:rsidR="00DA6502" w:rsidRPr="00DA6502">
        <w:rPr>
          <w:rFonts w:ascii="Tahoma" w:eastAsia="Times New Roman" w:hAnsi="Tahoma" w:cs="Tahoma"/>
          <w:b/>
          <w:bCs/>
          <w:color w:val="auto"/>
        </w:rPr>
        <w:t>22.640.272.329</w:t>
      </w:r>
      <w:r w:rsidR="008B0625">
        <w:rPr>
          <w:rFonts w:ascii="Tahoma" w:eastAsia="Times New Roman" w:hAnsi="Tahoma" w:cs="Tahoma"/>
          <w:b/>
          <w:bCs/>
          <w:color w:val="auto"/>
        </w:rPr>
        <w:t>.oo.</w:t>
      </w:r>
    </w:p>
    <w:p w:rsidR="008B0625" w:rsidRDefault="008B0625" w:rsidP="009848DF">
      <w:pPr>
        <w:tabs>
          <w:tab w:val="left" w:pos="2835"/>
        </w:tabs>
        <w:spacing w:before="0" w:after="0" w:line="19" w:lineRule="atLeast"/>
        <w:jc w:val="both"/>
        <w:rPr>
          <w:rFonts w:ascii="Tahoma" w:eastAsia="Times New Roman" w:hAnsi="Tahoma" w:cs="Tahoma"/>
          <w:b/>
          <w:bCs/>
          <w:color w:val="auto"/>
        </w:rPr>
      </w:pPr>
    </w:p>
    <w:p w:rsidR="00CB6457" w:rsidRDefault="00CB6457" w:rsidP="009848DF">
      <w:pPr>
        <w:tabs>
          <w:tab w:val="left" w:pos="2835"/>
        </w:tabs>
        <w:spacing w:before="0" w:after="0" w:line="19" w:lineRule="atLeast"/>
        <w:jc w:val="both"/>
        <w:rPr>
          <w:rFonts w:ascii="Tahoma" w:eastAsia="Times New Roman" w:hAnsi="Tahoma" w:cs="Tahoma"/>
          <w:b/>
          <w:bCs/>
          <w:color w:val="auto"/>
        </w:rPr>
      </w:pPr>
    </w:p>
    <w:tbl>
      <w:tblPr>
        <w:tblStyle w:val="Tablaconcuadrcula"/>
        <w:tblW w:w="9057" w:type="dxa"/>
        <w:tblLook w:val="04A0" w:firstRow="1" w:lastRow="0" w:firstColumn="1" w:lastColumn="0" w:noHBand="0" w:noVBand="1"/>
      </w:tblPr>
      <w:tblGrid>
        <w:gridCol w:w="2264"/>
        <w:gridCol w:w="1848"/>
        <w:gridCol w:w="2287"/>
        <w:gridCol w:w="2658"/>
      </w:tblGrid>
      <w:tr w:rsidR="008B0625" w:rsidRPr="00BA1DE4" w:rsidTr="00CB6457">
        <w:trPr>
          <w:trHeight w:val="327"/>
        </w:trPr>
        <w:tc>
          <w:tcPr>
            <w:tcW w:w="2264" w:type="dxa"/>
          </w:tcPr>
          <w:p w:rsidR="008B0625" w:rsidRPr="00BA1DE4" w:rsidRDefault="008B0625" w:rsidP="00511C4D">
            <w:pPr>
              <w:tabs>
                <w:tab w:val="left" w:pos="2835"/>
              </w:tabs>
              <w:spacing w:before="0" w:line="19" w:lineRule="atLeast"/>
              <w:jc w:val="center"/>
              <w:rPr>
                <w:rFonts w:ascii="Tahoma" w:eastAsia="Times New Roman" w:hAnsi="Tahoma" w:cs="Tahoma"/>
                <w:bCs/>
                <w:color w:val="auto"/>
                <w:sz w:val="18"/>
                <w:szCs w:val="18"/>
              </w:rPr>
            </w:pPr>
            <w:r w:rsidRPr="00BA1DE4">
              <w:rPr>
                <w:rFonts w:ascii="Tahoma" w:eastAsia="Times New Roman" w:hAnsi="Tahoma" w:cs="Tahoma"/>
                <w:bCs/>
                <w:color w:val="auto"/>
                <w:sz w:val="18"/>
                <w:szCs w:val="18"/>
              </w:rPr>
              <w:t>PRESUPUESTO INICIAL</w:t>
            </w:r>
          </w:p>
        </w:tc>
        <w:tc>
          <w:tcPr>
            <w:tcW w:w="1848" w:type="dxa"/>
          </w:tcPr>
          <w:p w:rsidR="008B0625" w:rsidRPr="00BA1DE4" w:rsidRDefault="008B0625" w:rsidP="00511C4D">
            <w:pPr>
              <w:tabs>
                <w:tab w:val="left" w:pos="2835"/>
              </w:tabs>
              <w:spacing w:before="0" w:line="19" w:lineRule="atLeast"/>
              <w:jc w:val="center"/>
              <w:rPr>
                <w:rFonts w:ascii="Tahoma" w:eastAsia="Times New Roman" w:hAnsi="Tahoma" w:cs="Tahoma"/>
                <w:bCs/>
                <w:color w:val="auto"/>
                <w:sz w:val="18"/>
                <w:szCs w:val="18"/>
              </w:rPr>
            </w:pPr>
            <w:r w:rsidRPr="00BA1DE4">
              <w:rPr>
                <w:rFonts w:ascii="Tahoma" w:eastAsia="Times New Roman" w:hAnsi="Tahoma" w:cs="Tahoma"/>
                <w:bCs/>
                <w:color w:val="auto"/>
                <w:sz w:val="18"/>
                <w:szCs w:val="18"/>
              </w:rPr>
              <w:t>ADICIONES</w:t>
            </w:r>
          </w:p>
        </w:tc>
        <w:tc>
          <w:tcPr>
            <w:tcW w:w="2287" w:type="dxa"/>
          </w:tcPr>
          <w:p w:rsidR="008B0625" w:rsidRPr="00BA1DE4" w:rsidRDefault="008B0625" w:rsidP="00511C4D">
            <w:pPr>
              <w:tabs>
                <w:tab w:val="left" w:pos="2835"/>
              </w:tabs>
              <w:spacing w:before="0" w:line="19" w:lineRule="atLeast"/>
              <w:jc w:val="center"/>
              <w:rPr>
                <w:rFonts w:ascii="Tahoma" w:eastAsia="Times New Roman" w:hAnsi="Tahoma" w:cs="Tahoma"/>
                <w:bCs/>
                <w:color w:val="auto"/>
                <w:sz w:val="18"/>
                <w:szCs w:val="18"/>
              </w:rPr>
            </w:pPr>
            <w:r w:rsidRPr="00BA1DE4">
              <w:rPr>
                <w:rFonts w:ascii="Tahoma" w:eastAsia="Times New Roman" w:hAnsi="Tahoma" w:cs="Tahoma"/>
                <w:bCs/>
                <w:color w:val="auto"/>
                <w:sz w:val="18"/>
                <w:szCs w:val="18"/>
              </w:rPr>
              <w:t>REDUCCIONES</w:t>
            </w:r>
          </w:p>
        </w:tc>
        <w:tc>
          <w:tcPr>
            <w:tcW w:w="2658" w:type="dxa"/>
          </w:tcPr>
          <w:p w:rsidR="008B0625" w:rsidRPr="00BA1DE4" w:rsidRDefault="008B0625" w:rsidP="00511C4D">
            <w:pPr>
              <w:tabs>
                <w:tab w:val="left" w:pos="2835"/>
              </w:tabs>
              <w:spacing w:before="0" w:line="19" w:lineRule="atLeast"/>
              <w:jc w:val="center"/>
              <w:rPr>
                <w:rFonts w:ascii="Tahoma" w:eastAsia="Times New Roman" w:hAnsi="Tahoma" w:cs="Tahoma"/>
                <w:bCs/>
                <w:color w:val="auto"/>
                <w:sz w:val="18"/>
                <w:szCs w:val="18"/>
              </w:rPr>
            </w:pPr>
            <w:r w:rsidRPr="00BA1DE4">
              <w:rPr>
                <w:rFonts w:ascii="Tahoma" w:eastAsia="Times New Roman" w:hAnsi="Tahoma" w:cs="Tahoma"/>
                <w:bCs/>
                <w:color w:val="auto"/>
                <w:sz w:val="18"/>
                <w:szCs w:val="18"/>
              </w:rPr>
              <w:t>PRESUPUESTO DEFINITIVO</w:t>
            </w:r>
          </w:p>
        </w:tc>
      </w:tr>
      <w:tr w:rsidR="008B0625" w:rsidRPr="00BA1DE4" w:rsidTr="00CB6457">
        <w:trPr>
          <w:trHeight w:val="551"/>
        </w:trPr>
        <w:tc>
          <w:tcPr>
            <w:tcW w:w="2264" w:type="dxa"/>
          </w:tcPr>
          <w:p w:rsidR="008B0625" w:rsidRPr="00BA1DE4" w:rsidRDefault="008B0625" w:rsidP="00511C4D">
            <w:pPr>
              <w:tabs>
                <w:tab w:val="left" w:pos="2835"/>
              </w:tabs>
              <w:spacing w:before="0" w:line="19" w:lineRule="atLeast"/>
              <w:jc w:val="right"/>
              <w:rPr>
                <w:rFonts w:ascii="Tahoma" w:eastAsia="Times New Roman" w:hAnsi="Tahoma" w:cs="Tahoma"/>
                <w:bCs/>
                <w:color w:val="auto"/>
                <w:sz w:val="28"/>
                <w:szCs w:val="28"/>
                <w:vertAlign w:val="subscript"/>
              </w:rPr>
            </w:pPr>
            <w:r w:rsidRPr="00BA1DE4">
              <w:rPr>
                <w:rFonts w:ascii="Tahoma" w:hAnsi="Tahoma" w:cs="Tahoma"/>
                <w:color w:val="auto"/>
                <w:sz w:val="28"/>
                <w:szCs w:val="28"/>
                <w:vertAlign w:val="subscript"/>
              </w:rPr>
              <w:t>$13.605.184.455.oo</w:t>
            </w:r>
          </w:p>
        </w:tc>
        <w:tc>
          <w:tcPr>
            <w:tcW w:w="1848" w:type="dxa"/>
          </w:tcPr>
          <w:p w:rsidR="008B0625" w:rsidRPr="00BA1DE4" w:rsidRDefault="00511C4D" w:rsidP="00511C4D">
            <w:pPr>
              <w:tabs>
                <w:tab w:val="left" w:pos="2835"/>
              </w:tabs>
              <w:spacing w:before="0" w:line="19" w:lineRule="atLeast"/>
              <w:jc w:val="right"/>
              <w:rPr>
                <w:rFonts w:ascii="Tahoma" w:eastAsia="Times New Roman" w:hAnsi="Tahoma" w:cs="Tahoma"/>
                <w:bCs/>
                <w:color w:val="auto"/>
                <w:sz w:val="28"/>
                <w:szCs w:val="28"/>
                <w:vertAlign w:val="subscript"/>
              </w:rPr>
            </w:pPr>
            <w:r>
              <w:rPr>
                <w:rFonts w:ascii="Tahoma" w:eastAsia="Times New Roman" w:hAnsi="Tahoma" w:cs="Tahoma"/>
                <w:bCs/>
                <w:color w:val="auto"/>
                <w:sz w:val="28"/>
                <w:szCs w:val="28"/>
                <w:vertAlign w:val="subscript"/>
              </w:rPr>
              <w:t>$</w:t>
            </w:r>
            <w:r w:rsidR="008B0625" w:rsidRPr="00BA1DE4">
              <w:rPr>
                <w:rFonts w:ascii="Tahoma" w:eastAsia="Times New Roman" w:hAnsi="Tahoma" w:cs="Tahoma"/>
                <w:bCs/>
                <w:color w:val="auto"/>
                <w:sz w:val="28"/>
                <w:szCs w:val="28"/>
                <w:vertAlign w:val="subscript"/>
              </w:rPr>
              <w:t>9.053.912.824,oo</w:t>
            </w:r>
          </w:p>
        </w:tc>
        <w:tc>
          <w:tcPr>
            <w:tcW w:w="2287" w:type="dxa"/>
          </w:tcPr>
          <w:p w:rsidR="008B0625" w:rsidRPr="00BA1DE4" w:rsidRDefault="008B0625" w:rsidP="00511C4D">
            <w:pPr>
              <w:tabs>
                <w:tab w:val="left" w:pos="2835"/>
              </w:tabs>
              <w:spacing w:before="0" w:line="19" w:lineRule="atLeast"/>
              <w:jc w:val="right"/>
              <w:rPr>
                <w:rFonts w:ascii="Tahoma" w:eastAsia="Times New Roman" w:hAnsi="Tahoma" w:cs="Tahoma"/>
                <w:bCs/>
                <w:color w:val="auto"/>
                <w:sz w:val="28"/>
                <w:szCs w:val="28"/>
                <w:vertAlign w:val="subscript"/>
              </w:rPr>
            </w:pPr>
            <w:r w:rsidRPr="00BA1DE4">
              <w:rPr>
                <w:rFonts w:ascii="Tahoma" w:eastAsia="Times New Roman" w:hAnsi="Tahoma" w:cs="Tahoma"/>
                <w:bCs/>
                <w:color w:val="auto"/>
                <w:sz w:val="28"/>
                <w:szCs w:val="28"/>
                <w:vertAlign w:val="subscript"/>
              </w:rPr>
              <w:t>$18.824.950.oo</w:t>
            </w:r>
          </w:p>
        </w:tc>
        <w:tc>
          <w:tcPr>
            <w:tcW w:w="2658" w:type="dxa"/>
          </w:tcPr>
          <w:p w:rsidR="008B0625" w:rsidRPr="00BA1DE4" w:rsidRDefault="008B0625" w:rsidP="00511C4D">
            <w:pPr>
              <w:tabs>
                <w:tab w:val="left" w:pos="2835"/>
              </w:tabs>
              <w:spacing w:before="0" w:line="19" w:lineRule="atLeast"/>
              <w:jc w:val="right"/>
              <w:rPr>
                <w:rFonts w:ascii="Tahoma" w:eastAsia="Times New Roman" w:hAnsi="Tahoma" w:cs="Tahoma"/>
                <w:bCs/>
                <w:color w:val="auto"/>
                <w:sz w:val="28"/>
                <w:szCs w:val="28"/>
                <w:vertAlign w:val="subscript"/>
              </w:rPr>
            </w:pPr>
            <w:r w:rsidRPr="00BA1DE4">
              <w:rPr>
                <w:rFonts w:ascii="Tahoma" w:eastAsia="Times New Roman" w:hAnsi="Tahoma" w:cs="Tahoma"/>
                <w:bCs/>
                <w:color w:val="auto"/>
                <w:sz w:val="28"/>
                <w:szCs w:val="28"/>
                <w:vertAlign w:val="subscript"/>
              </w:rPr>
              <w:t>$22.640.272.329.oo</w:t>
            </w:r>
          </w:p>
        </w:tc>
      </w:tr>
    </w:tbl>
    <w:p w:rsidR="002016AE" w:rsidRPr="00256F6A" w:rsidRDefault="00256F6A" w:rsidP="009848DF">
      <w:pPr>
        <w:tabs>
          <w:tab w:val="left" w:pos="2835"/>
        </w:tabs>
        <w:spacing w:before="0" w:after="0" w:line="19" w:lineRule="atLeast"/>
        <w:jc w:val="both"/>
        <w:rPr>
          <w:rFonts w:ascii="Tahoma" w:eastAsia="Times New Roman" w:hAnsi="Tahoma" w:cs="Tahoma"/>
          <w:bCs/>
          <w:color w:val="auto"/>
          <w:vertAlign w:val="subscript"/>
        </w:rPr>
      </w:pPr>
      <w:r w:rsidRPr="00256F6A">
        <w:rPr>
          <w:rFonts w:ascii="Tahoma" w:eastAsia="Times New Roman" w:hAnsi="Tahoma" w:cs="Tahoma"/>
          <w:bCs/>
          <w:color w:val="auto"/>
          <w:vertAlign w:val="subscript"/>
        </w:rPr>
        <w:t>Información tomada de la ejecución presupuestal del Municipio</w:t>
      </w:r>
      <w:r>
        <w:rPr>
          <w:rFonts w:ascii="Tahoma" w:eastAsia="Times New Roman" w:hAnsi="Tahoma" w:cs="Tahoma"/>
          <w:bCs/>
          <w:color w:val="auto"/>
          <w:vertAlign w:val="subscript"/>
        </w:rPr>
        <w:t xml:space="preserve"> vigencia 2015</w:t>
      </w:r>
    </w:p>
    <w:p w:rsidR="00CB6457" w:rsidRDefault="00CB6457" w:rsidP="003F4BDE">
      <w:pPr>
        <w:tabs>
          <w:tab w:val="left" w:pos="4760"/>
          <w:tab w:val="left" w:pos="6013"/>
          <w:tab w:val="left" w:pos="6693"/>
        </w:tabs>
        <w:spacing w:before="0" w:after="0" w:line="19" w:lineRule="atLeast"/>
        <w:jc w:val="both"/>
        <w:rPr>
          <w:rFonts w:ascii="Tahoma" w:eastAsia="Times New Roman" w:hAnsi="Tahoma" w:cs="Tahoma"/>
          <w:bCs/>
          <w:color w:val="auto"/>
        </w:rPr>
      </w:pPr>
    </w:p>
    <w:p w:rsidR="003F4BDE" w:rsidRDefault="00735592" w:rsidP="003F4BDE">
      <w:pPr>
        <w:tabs>
          <w:tab w:val="left" w:pos="4760"/>
          <w:tab w:val="left" w:pos="6013"/>
          <w:tab w:val="left" w:pos="6693"/>
        </w:tabs>
        <w:spacing w:before="0" w:after="0" w:line="19" w:lineRule="atLeast"/>
        <w:jc w:val="both"/>
        <w:rPr>
          <w:rFonts w:ascii="Tahoma" w:eastAsia="Times New Roman" w:hAnsi="Tahoma" w:cs="Tahoma"/>
          <w:bCs/>
          <w:color w:val="auto"/>
        </w:rPr>
      </w:pPr>
      <w:r>
        <w:rPr>
          <w:rFonts w:ascii="Tahoma" w:eastAsia="Times New Roman" w:hAnsi="Tahoma" w:cs="Tahoma"/>
          <w:bCs/>
          <w:color w:val="auto"/>
        </w:rPr>
        <w:tab/>
      </w:r>
      <w:r w:rsidR="00256F6A">
        <w:rPr>
          <w:rFonts w:ascii="Tahoma" w:eastAsia="Times New Roman" w:hAnsi="Tahoma" w:cs="Tahoma"/>
          <w:bCs/>
          <w:color w:val="auto"/>
        </w:rPr>
        <w:tab/>
      </w:r>
    </w:p>
    <w:p w:rsidR="002016AE" w:rsidRDefault="00233415" w:rsidP="00256F6A">
      <w:pPr>
        <w:tabs>
          <w:tab w:val="left" w:pos="2835"/>
        </w:tabs>
        <w:spacing w:before="0" w:after="0" w:line="19" w:lineRule="atLeast"/>
        <w:jc w:val="center"/>
        <w:rPr>
          <w:rFonts w:ascii="Tahoma" w:eastAsia="Times New Roman" w:hAnsi="Tahoma" w:cs="Tahoma"/>
          <w:bCs/>
          <w:color w:val="auto"/>
        </w:rPr>
      </w:pPr>
      <w:r>
        <w:rPr>
          <w:rFonts w:ascii="Tahoma" w:eastAsia="Times New Roman" w:hAnsi="Tahoma" w:cs="Tahoma"/>
          <w:bCs/>
          <w:noProof/>
          <w:color w:val="auto"/>
        </w:rPr>
        <w:drawing>
          <wp:inline distT="0" distB="0" distL="0" distR="0">
            <wp:extent cx="5097780" cy="3108960"/>
            <wp:effectExtent l="0" t="0" r="26670" b="15240"/>
            <wp:docPr id="17"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54CD9" w:rsidRDefault="00054CD9" w:rsidP="009A7AA1">
      <w:pPr>
        <w:jc w:val="both"/>
        <w:rPr>
          <w:rFonts w:ascii="Tahoma" w:eastAsia="Times New Roman" w:hAnsi="Tahoma" w:cs="Tahoma"/>
          <w:bCs/>
          <w:color w:val="auto"/>
        </w:rPr>
      </w:pPr>
    </w:p>
    <w:p w:rsidR="00F8609F" w:rsidRDefault="00F8609F" w:rsidP="009A7AA1">
      <w:pPr>
        <w:jc w:val="both"/>
        <w:rPr>
          <w:rFonts w:ascii="Tahoma" w:eastAsia="Times New Roman" w:hAnsi="Tahoma" w:cs="Tahoma"/>
          <w:color w:val="auto"/>
        </w:rPr>
      </w:pPr>
    </w:p>
    <w:p w:rsidR="00231ECA" w:rsidRDefault="00231ECA" w:rsidP="00685EF4">
      <w:pPr>
        <w:rPr>
          <w:rFonts w:ascii="Tahoma" w:eastAsia="Times New Roman" w:hAnsi="Tahoma" w:cs="Tahoma"/>
          <w:b/>
          <w:color w:val="auto"/>
        </w:rPr>
      </w:pPr>
    </w:p>
    <w:p w:rsidR="00231ECA" w:rsidRDefault="00231ECA" w:rsidP="00685EF4">
      <w:pPr>
        <w:rPr>
          <w:rFonts w:ascii="Tahoma" w:eastAsia="Times New Roman" w:hAnsi="Tahoma" w:cs="Tahoma"/>
          <w:b/>
          <w:color w:val="auto"/>
        </w:rPr>
      </w:pPr>
    </w:p>
    <w:p w:rsidR="00F8609F" w:rsidRDefault="00685EF4" w:rsidP="00685EF4">
      <w:pPr>
        <w:rPr>
          <w:rFonts w:ascii="Tahoma" w:eastAsia="Times New Roman" w:hAnsi="Tahoma" w:cs="Tahoma"/>
          <w:b/>
          <w:color w:val="auto"/>
        </w:rPr>
      </w:pPr>
      <w:r w:rsidRPr="00685EF4">
        <w:rPr>
          <w:rFonts w:ascii="Tahoma" w:eastAsia="Times New Roman" w:hAnsi="Tahoma" w:cs="Tahoma"/>
          <w:b/>
          <w:color w:val="auto"/>
        </w:rPr>
        <w:lastRenderedPageBreak/>
        <w:t>PRESUPUESTO INICIAL DE INGRESOS</w:t>
      </w:r>
    </w:p>
    <w:p w:rsidR="00231ECA" w:rsidRDefault="00231ECA" w:rsidP="00685EF4">
      <w:pPr>
        <w:rPr>
          <w:rFonts w:ascii="Tahoma" w:eastAsia="Times New Roman" w:hAnsi="Tahoma" w:cs="Tahoma"/>
          <w:b/>
          <w:color w:val="auto"/>
        </w:rPr>
      </w:pPr>
    </w:p>
    <w:p w:rsidR="009A7AA1" w:rsidRDefault="00685EF4" w:rsidP="00F8609F">
      <w:pPr>
        <w:jc w:val="center"/>
        <w:rPr>
          <w:rFonts w:ascii="Tahoma" w:eastAsia="Times New Roman" w:hAnsi="Tahoma" w:cs="Tahoma"/>
          <w:color w:val="auto"/>
        </w:rPr>
      </w:pPr>
      <w:r w:rsidRPr="00685EF4">
        <w:rPr>
          <w:noProof/>
        </w:rPr>
        <w:drawing>
          <wp:inline distT="0" distB="0" distL="0" distR="0" wp14:anchorId="1BE21A04" wp14:editId="4C0CD8EE">
            <wp:extent cx="5113020" cy="3208020"/>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113463" cy="3208298"/>
                    </a:xfrm>
                    <a:prstGeom prst="rect">
                      <a:avLst/>
                    </a:prstGeom>
                  </pic:spPr>
                </pic:pic>
              </a:graphicData>
            </a:graphic>
          </wp:inline>
        </w:drawing>
      </w:r>
    </w:p>
    <w:p w:rsidR="00231ECA" w:rsidRDefault="00231ECA" w:rsidP="00685EF4">
      <w:pPr>
        <w:jc w:val="both"/>
        <w:rPr>
          <w:rFonts w:ascii="Tahoma" w:eastAsia="Times New Roman" w:hAnsi="Tahoma" w:cs="Tahoma"/>
          <w:bCs/>
          <w:color w:val="auto"/>
        </w:rPr>
      </w:pPr>
    </w:p>
    <w:p w:rsidR="00685EF4" w:rsidRDefault="00685EF4" w:rsidP="00685EF4">
      <w:pPr>
        <w:jc w:val="both"/>
        <w:rPr>
          <w:rFonts w:ascii="Tahoma" w:eastAsia="Times New Roman" w:hAnsi="Tahoma" w:cs="Tahoma"/>
          <w:color w:val="auto"/>
        </w:rPr>
      </w:pPr>
      <w:r w:rsidRPr="009A7AA1">
        <w:rPr>
          <w:rFonts w:ascii="Tahoma" w:eastAsia="Times New Roman" w:hAnsi="Tahoma" w:cs="Tahoma"/>
          <w:bCs/>
          <w:color w:val="auto"/>
        </w:rPr>
        <w:t>El presupuesto Inicial de ingresos se dividió en: Ingresos Tributarios con</w:t>
      </w:r>
      <w:r>
        <w:rPr>
          <w:rFonts w:ascii="Tahoma" w:eastAsia="Times New Roman" w:hAnsi="Tahoma" w:cs="Tahoma"/>
          <w:bCs/>
          <w:color w:val="auto"/>
        </w:rPr>
        <w:t xml:space="preserve"> el </w:t>
      </w:r>
      <w:r w:rsidRPr="009A7AA1">
        <w:rPr>
          <w:rFonts w:ascii="Tahoma" w:eastAsia="Times New Roman" w:hAnsi="Tahoma" w:cs="Tahoma"/>
          <w:bCs/>
          <w:color w:val="auto"/>
        </w:rPr>
        <w:t>27.51%</w:t>
      </w:r>
      <w:r>
        <w:rPr>
          <w:rFonts w:ascii="Tahoma" w:eastAsia="Times New Roman" w:hAnsi="Tahoma" w:cs="Tahoma"/>
          <w:bCs/>
          <w:color w:val="auto"/>
        </w:rPr>
        <w:t>, equivalentes a</w:t>
      </w:r>
      <w:r w:rsidRPr="009A7AA1">
        <w:rPr>
          <w:rFonts w:ascii="Tahoma" w:eastAsia="Times New Roman" w:hAnsi="Tahoma" w:cs="Tahoma"/>
          <w:bCs/>
          <w:color w:val="auto"/>
        </w:rPr>
        <w:t xml:space="preserve"> </w:t>
      </w:r>
      <w:r>
        <w:rPr>
          <w:rFonts w:ascii="Tahoma" w:eastAsia="Times New Roman" w:hAnsi="Tahoma" w:cs="Tahoma"/>
          <w:bCs/>
          <w:color w:val="auto"/>
        </w:rPr>
        <w:t>$</w:t>
      </w:r>
      <w:r w:rsidRPr="009A7AA1">
        <w:rPr>
          <w:rFonts w:ascii="Tahoma" w:eastAsia="Times New Roman" w:hAnsi="Tahoma" w:cs="Tahoma"/>
          <w:color w:val="auto"/>
        </w:rPr>
        <w:t>3</w:t>
      </w:r>
      <w:r>
        <w:rPr>
          <w:rFonts w:ascii="Tahoma" w:eastAsia="Times New Roman" w:hAnsi="Tahoma" w:cs="Tahoma"/>
          <w:color w:val="auto"/>
        </w:rPr>
        <w:t>.</w:t>
      </w:r>
      <w:r w:rsidRPr="009A7AA1">
        <w:rPr>
          <w:rFonts w:ascii="Tahoma" w:eastAsia="Times New Roman" w:hAnsi="Tahoma" w:cs="Tahoma"/>
          <w:color w:val="auto"/>
        </w:rPr>
        <w:t>743</w:t>
      </w:r>
      <w:r w:rsidR="00511C4D">
        <w:rPr>
          <w:rFonts w:ascii="Tahoma" w:eastAsia="Times New Roman" w:hAnsi="Tahoma" w:cs="Tahoma"/>
          <w:color w:val="auto"/>
        </w:rPr>
        <w:t xml:space="preserve"> millones,</w:t>
      </w:r>
      <w:r>
        <w:rPr>
          <w:rFonts w:ascii="Tahoma" w:eastAsia="Times New Roman" w:hAnsi="Tahoma" w:cs="Tahoma"/>
          <w:color w:val="auto"/>
        </w:rPr>
        <w:t xml:space="preserve"> </w:t>
      </w:r>
      <w:r w:rsidRPr="009A7AA1">
        <w:rPr>
          <w:rFonts w:ascii="Tahoma" w:eastAsia="Times New Roman" w:hAnsi="Tahoma" w:cs="Tahoma"/>
          <w:bCs/>
          <w:color w:val="auto"/>
        </w:rPr>
        <w:t xml:space="preserve">Ingresos no Tributarios </w:t>
      </w:r>
      <w:r>
        <w:rPr>
          <w:rFonts w:ascii="Tahoma" w:eastAsia="Times New Roman" w:hAnsi="Tahoma" w:cs="Tahoma"/>
          <w:bCs/>
          <w:color w:val="auto"/>
        </w:rPr>
        <w:t xml:space="preserve">con el 20.82% equivalentes a </w:t>
      </w:r>
      <w:r w:rsidRPr="009A7AA1">
        <w:rPr>
          <w:rFonts w:ascii="Tahoma" w:eastAsia="Times New Roman" w:hAnsi="Tahoma" w:cs="Tahoma"/>
          <w:bCs/>
          <w:color w:val="auto"/>
        </w:rPr>
        <w:t>$</w:t>
      </w:r>
      <w:r w:rsidRPr="009A7AA1">
        <w:rPr>
          <w:rFonts w:ascii="Tahoma" w:eastAsia="Times New Roman" w:hAnsi="Tahoma" w:cs="Tahoma"/>
          <w:color w:val="auto"/>
        </w:rPr>
        <w:t>2</w:t>
      </w:r>
      <w:r>
        <w:rPr>
          <w:rFonts w:ascii="Tahoma" w:eastAsia="Times New Roman" w:hAnsi="Tahoma" w:cs="Tahoma"/>
          <w:color w:val="auto"/>
        </w:rPr>
        <w:t>.</w:t>
      </w:r>
      <w:r w:rsidRPr="009A7AA1">
        <w:rPr>
          <w:rFonts w:ascii="Tahoma" w:eastAsia="Times New Roman" w:hAnsi="Tahoma" w:cs="Tahoma"/>
          <w:color w:val="auto"/>
        </w:rPr>
        <w:t>831</w:t>
      </w:r>
      <w:r w:rsidR="00511C4D">
        <w:rPr>
          <w:rFonts w:ascii="Tahoma" w:eastAsia="Times New Roman" w:hAnsi="Tahoma" w:cs="Tahoma"/>
          <w:color w:val="auto"/>
        </w:rPr>
        <w:t xml:space="preserve"> millones </w:t>
      </w:r>
      <w:r w:rsidRPr="009A7AA1">
        <w:rPr>
          <w:rFonts w:ascii="Tahoma" w:eastAsia="Times New Roman" w:hAnsi="Tahoma" w:cs="Tahoma"/>
          <w:bCs/>
          <w:color w:val="auto"/>
        </w:rPr>
        <w:t xml:space="preserve">y Fondos especiales </w:t>
      </w:r>
      <w:r>
        <w:rPr>
          <w:rFonts w:ascii="Tahoma" w:eastAsia="Times New Roman" w:hAnsi="Tahoma" w:cs="Tahoma"/>
          <w:bCs/>
          <w:color w:val="auto"/>
        </w:rPr>
        <w:t xml:space="preserve">con un 51.67%, equivalentes </w:t>
      </w:r>
      <w:r w:rsidRPr="009A7AA1">
        <w:rPr>
          <w:rFonts w:ascii="Tahoma" w:eastAsia="Times New Roman" w:hAnsi="Tahoma" w:cs="Tahoma"/>
          <w:bCs/>
          <w:color w:val="auto"/>
        </w:rPr>
        <w:t>$</w:t>
      </w:r>
      <w:r w:rsidRPr="009A7AA1">
        <w:rPr>
          <w:rFonts w:ascii="Tahoma" w:eastAsia="Times New Roman" w:hAnsi="Tahoma" w:cs="Tahoma"/>
          <w:color w:val="auto"/>
        </w:rPr>
        <w:t>7</w:t>
      </w:r>
      <w:r>
        <w:rPr>
          <w:rFonts w:ascii="Tahoma" w:eastAsia="Times New Roman" w:hAnsi="Tahoma" w:cs="Tahoma"/>
          <w:color w:val="auto"/>
        </w:rPr>
        <w:t>.</w:t>
      </w:r>
      <w:r w:rsidRPr="009A7AA1">
        <w:rPr>
          <w:rFonts w:ascii="Tahoma" w:eastAsia="Times New Roman" w:hAnsi="Tahoma" w:cs="Tahoma"/>
          <w:color w:val="auto"/>
        </w:rPr>
        <w:t>029</w:t>
      </w:r>
      <w:r w:rsidR="00511C4D">
        <w:rPr>
          <w:rFonts w:ascii="Tahoma" w:eastAsia="Times New Roman" w:hAnsi="Tahoma" w:cs="Tahoma"/>
          <w:color w:val="auto"/>
        </w:rPr>
        <w:t xml:space="preserve"> millones.</w:t>
      </w:r>
      <w:r>
        <w:rPr>
          <w:rFonts w:ascii="Tahoma" w:eastAsia="Times New Roman" w:hAnsi="Tahoma" w:cs="Tahoma"/>
          <w:color w:val="auto"/>
        </w:rPr>
        <w:t xml:space="preserve"> </w:t>
      </w:r>
    </w:p>
    <w:p w:rsidR="004F7C44" w:rsidRDefault="004F7C44" w:rsidP="000653AB">
      <w:pPr>
        <w:tabs>
          <w:tab w:val="left" w:pos="2835"/>
        </w:tabs>
        <w:spacing w:before="0" w:after="0" w:line="19" w:lineRule="atLeast"/>
        <w:jc w:val="right"/>
        <w:rPr>
          <w:rFonts w:ascii="Tahoma" w:eastAsia="Times New Roman" w:hAnsi="Tahoma" w:cs="Tahoma"/>
          <w:bCs/>
          <w:color w:val="auto"/>
        </w:rPr>
      </w:pPr>
    </w:p>
    <w:p w:rsidR="00DE4790" w:rsidRDefault="00AE23D3" w:rsidP="00685EF4">
      <w:pPr>
        <w:tabs>
          <w:tab w:val="left" w:pos="2835"/>
        </w:tabs>
        <w:spacing w:before="0" w:after="0" w:line="19" w:lineRule="atLeast"/>
        <w:jc w:val="center"/>
        <w:rPr>
          <w:rFonts w:ascii="Tahoma" w:eastAsia="Times New Roman" w:hAnsi="Tahoma" w:cs="Tahoma"/>
          <w:b/>
          <w:bCs/>
          <w:color w:val="auto"/>
        </w:rPr>
      </w:pPr>
      <w:r>
        <w:rPr>
          <w:rFonts w:ascii="Tahoma" w:eastAsia="Times New Roman" w:hAnsi="Tahoma" w:cs="Tahoma"/>
          <w:noProof/>
          <w:color w:val="auto"/>
        </w:rPr>
        <w:lastRenderedPageBreak/>
        <w:drawing>
          <wp:inline distT="0" distB="0" distL="0" distR="0" wp14:anchorId="77DF4E74" wp14:editId="4CD1BC8A">
            <wp:extent cx="4937760" cy="2796540"/>
            <wp:effectExtent l="0" t="0" r="15240" b="22860"/>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31ECA" w:rsidRDefault="00231ECA" w:rsidP="00521391">
      <w:pPr>
        <w:tabs>
          <w:tab w:val="left" w:pos="2835"/>
        </w:tabs>
        <w:spacing w:before="0" w:after="0" w:line="19" w:lineRule="atLeast"/>
        <w:jc w:val="both"/>
        <w:rPr>
          <w:rFonts w:ascii="Tahoma" w:eastAsia="Times New Roman" w:hAnsi="Tahoma" w:cs="Tahoma"/>
          <w:b/>
          <w:bCs/>
          <w:color w:val="auto"/>
        </w:rPr>
      </w:pPr>
    </w:p>
    <w:p w:rsidR="00521391" w:rsidRPr="00521391" w:rsidRDefault="00521391" w:rsidP="00521391">
      <w:pPr>
        <w:tabs>
          <w:tab w:val="left" w:pos="2835"/>
        </w:tabs>
        <w:spacing w:before="0" w:after="0" w:line="19" w:lineRule="atLeast"/>
        <w:jc w:val="both"/>
        <w:rPr>
          <w:rFonts w:ascii="Tahoma" w:eastAsia="Times New Roman" w:hAnsi="Tahoma" w:cs="Tahoma"/>
          <w:b/>
          <w:bCs/>
          <w:color w:val="auto"/>
        </w:rPr>
      </w:pPr>
      <w:r w:rsidRPr="00521391">
        <w:rPr>
          <w:rFonts w:ascii="Tahoma" w:eastAsia="Times New Roman" w:hAnsi="Tahoma" w:cs="Tahoma"/>
          <w:b/>
          <w:bCs/>
          <w:color w:val="auto"/>
        </w:rPr>
        <w:t>MODIFICACIONES AL PRESUPUESTO</w:t>
      </w:r>
      <w:r w:rsidR="00800EA9">
        <w:rPr>
          <w:rFonts w:ascii="Tahoma" w:eastAsia="Times New Roman" w:hAnsi="Tahoma" w:cs="Tahoma"/>
          <w:b/>
          <w:bCs/>
          <w:color w:val="auto"/>
        </w:rPr>
        <w:t xml:space="preserve"> </w:t>
      </w:r>
      <w:r w:rsidR="00CB6457">
        <w:rPr>
          <w:rFonts w:ascii="Tahoma" w:eastAsia="Times New Roman" w:hAnsi="Tahoma" w:cs="Tahoma"/>
          <w:b/>
          <w:bCs/>
          <w:color w:val="auto"/>
        </w:rPr>
        <w:t xml:space="preserve">DE INGRESOS </w:t>
      </w:r>
      <w:r w:rsidR="00800EA9">
        <w:rPr>
          <w:rFonts w:ascii="Tahoma" w:eastAsia="Times New Roman" w:hAnsi="Tahoma" w:cs="Tahoma"/>
          <w:b/>
          <w:bCs/>
          <w:color w:val="auto"/>
        </w:rPr>
        <w:t>(ADICIONES)</w:t>
      </w:r>
    </w:p>
    <w:p w:rsidR="00521391" w:rsidRDefault="00521391" w:rsidP="00521391">
      <w:pPr>
        <w:tabs>
          <w:tab w:val="left" w:pos="2835"/>
        </w:tabs>
        <w:spacing w:before="0" w:after="0" w:line="19" w:lineRule="atLeast"/>
        <w:jc w:val="both"/>
        <w:rPr>
          <w:rFonts w:ascii="Tahoma" w:eastAsia="Times New Roman" w:hAnsi="Tahoma" w:cs="Tahoma"/>
          <w:bCs/>
          <w:color w:val="auto"/>
        </w:rPr>
      </w:pPr>
    </w:p>
    <w:p w:rsidR="00EE40F7" w:rsidRDefault="00773547" w:rsidP="00521391">
      <w:pPr>
        <w:tabs>
          <w:tab w:val="left" w:pos="2835"/>
        </w:tabs>
        <w:spacing w:before="0" w:after="0" w:line="19" w:lineRule="atLeast"/>
        <w:jc w:val="both"/>
        <w:rPr>
          <w:rFonts w:ascii="Tahoma" w:eastAsia="Times New Roman" w:hAnsi="Tahoma" w:cs="Tahoma"/>
          <w:bCs/>
          <w:color w:val="auto"/>
        </w:rPr>
      </w:pPr>
      <w:r>
        <w:rPr>
          <w:rFonts w:ascii="Tahoma" w:eastAsia="Times New Roman" w:hAnsi="Tahoma" w:cs="Tahoma"/>
          <w:bCs/>
          <w:color w:val="auto"/>
        </w:rPr>
        <w:t>El presupuesto de ingresos del Municipio de L</w:t>
      </w:r>
      <w:r w:rsidR="00FA4922">
        <w:rPr>
          <w:rFonts w:ascii="Tahoma" w:eastAsia="Times New Roman" w:hAnsi="Tahoma" w:cs="Tahoma"/>
          <w:bCs/>
          <w:color w:val="auto"/>
        </w:rPr>
        <w:t xml:space="preserve">érida fue adicionado en un 66.55%, equivalentes a </w:t>
      </w:r>
      <w:r w:rsidR="00782F33">
        <w:rPr>
          <w:rFonts w:ascii="Tahoma" w:eastAsia="Times New Roman" w:hAnsi="Tahoma" w:cs="Tahoma"/>
          <w:bCs/>
          <w:color w:val="auto"/>
        </w:rPr>
        <w:t>$9.053 millones</w:t>
      </w:r>
      <w:r>
        <w:rPr>
          <w:rFonts w:ascii="Tahoma" w:eastAsia="Times New Roman" w:hAnsi="Tahoma" w:cs="Tahoma"/>
          <w:bCs/>
          <w:color w:val="auto"/>
        </w:rPr>
        <w:t xml:space="preserve"> y l</w:t>
      </w:r>
      <w:r w:rsidR="00521391">
        <w:rPr>
          <w:rFonts w:ascii="Tahoma" w:eastAsia="Times New Roman" w:hAnsi="Tahoma" w:cs="Tahoma"/>
          <w:bCs/>
          <w:color w:val="auto"/>
        </w:rPr>
        <w:t xml:space="preserve">as principales modificaciones </w:t>
      </w:r>
      <w:r w:rsidR="00C22DBE">
        <w:rPr>
          <w:rFonts w:ascii="Tahoma" w:eastAsia="Times New Roman" w:hAnsi="Tahoma" w:cs="Tahoma"/>
          <w:bCs/>
          <w:color w:val="auto"/>
        </w:rPr>
        <w:t xml:space="preserve">se realizaron en los </w:t>
      </w:r>
      <w:r w:rsidR="00E4268B">
        <w:rPr>
          <w:rFonts w:ascii="Tahoma" w:eastAsia="Times New Roman" w:hAnsi="Tahoma" w:cs="Tahoma"/>
          <w:bCs/>
          <w:color w:val="auto"/>
        </w:rPr>
        <w:t xml:space="preserve">Ingresos Tributarios </w:t>
      </w:r>
      <w:r>
        <w:rPr>
          <w:rFonts w:ascii="Tahoma" w:eastAsia="Times New Roman" w:hAnsi="Tahoma" w:cs="Tahoma"/>
          <w:bCs/>
          <w:color w:val="auto"/>
        </w:rPr>
        <w:t>en la suma de $671</w:t>
      </w:r>
      <w:r w:rsidR="00782F33">
        <w:rPr>
          <w:rFonts w:ascii="Tahoma" w:eastAsia="Times New Roman" w:hAnsi="Tahoma" w:cs="Tahoma"/>
          <w:bCs/>
          <w:color w:val="auto"/>
        </w:rPr>
        <w:t xml:space="preserve"> millones</w:t>
      </w:r>
      <w:r w:rsidR="00C22DBE">
        <w:rPr>
          <w:rFonts w:ascii="Tahoma" w:eastAsia="Times New Roman" w:hAnsi="Tahoma" w:cs="Tahoma"/>
          <w:bCs/>
          <w:color w:val="auto"/>
        </w:rPr>
        <w:t xml:space="preserve">, </w:t>
      </w:r>
      <w:r w:rsidR="00E4268B">
        <w:rPr>
          <w:rFonts w:ascii="Tahoma" w:eastAsia="Times New Roman" w:hAnsi="Tahoma" w:cs="Tahoma"/>
          <w:bCs/>
          <w:color w:val="auto"/>
        </w:rPr>
        <w:t xml:space="preserve"> Ingresos </w:t>
      </w:r>
      <w:r w:rsidR="007050ED">
        <w:rPr>
          <w:rFonts w:ascii="Tahoma" w:eastAsia="Times New Roman" w:hAnsi="Tahoma" w:cs="Tahoma"/>
          <w:bCs/>
          <w:color w:val="auto"/>
        </w:rPr>
        <w:t>N</w:t>
      </w:r>
      <w:r w:rsidR="00E4268B">
        <w:rPr>
          <w:rFonts w:ascii="Tahoma" w:eastAsia="Times New Roman" w:hAnsi="Tahoma" w:cs="Tahoma"/>
          <w:bCs/>
          <w:color w:val="auto"/>
        </w:rPr>
        <w:t xml:space="preserve">o tributarios </w:t>
      </w:r>
      <w:r>
        <w:rPr>
          <w:rFonts w:ascii="Tahoma" w:eastAsia="Times New Roman" w:hAnsi="Tahoma" w:cs="Tahoma"/>
          <w:bCs/>
          <w:color w:val="auto"/>
        </w:rPr>
        <w:t>en la suma de $387</w:t>
      </w:r>
      <w:r w:rsidR="00782F33">
        <w:rPr>
          <w:rFonts w:ascii="Tahoma" w:eastAsia="Times New Roman" w:hAnsi="Tahoma" w:cs="Tahoma"/>
          <w:bCs/>
          <w:color w:val="auto"/>
        </w:rPr>
        <w:t xml:space="preserve"> millones</w:t>
      </w:r>
      <w:r>
        <w:rPr>
          <w:rFonts w:ascii="Tahoma" w:eastAsia="Times New Roman" w:hAnsi="Tahoma" w:cs="Tahoma"/>
          <w:bCs/>
          <w:color w:val="auto"/>
        </w:rPr>
        <w:t>, fondos especiales en la suma de $751</w:t>
      </w:r>
      <w:r w:rsidR="00782F33">
        <w:rPr>
          <w:rFonts w:ascii="Tahoma" w:eastAsia="Times New Roman" w:hAnsi="Tahoma" w:cs="Tahoma"/>
          <w:bCs/>
          <w:color w:val="auto"/>
        </w:rPr>
        <w:t xml:space="preserve"> millones</w:t>
      </w:r>
      <w:r>
        <w:rPr>
          <w:rFonts w:ascii="Tahoma" w:eastAsia="Times New Roman" w:hAnsi="Tahoma" w:cs="Tahoma"/>
          <w:bCs/>
          <w:color w:val="auto"/>
        </w:rPr>
        <w:t xml:space="preserve">, </w:t>
      </w:r>
      <w:r w:rsidR="00521391">
        <w:rPr>
          <w:rFonts w:ascii="Tahoma" w:eastAsia="Times New Roman" w:hAnsi="Tahoma" w:cs="Tahoma"/>
          <w:bCs/>
          <w:color w:val="auto"/>
        </w:rPr>
        <w:t>Convenios</w:t>
      </w:r>
      <w:r>
        <w:rPr>
          <w:rFonts w:ascii="Tahoma" w:eastAsia="Times New Roman" w:hAnsi="Tahoma" w:cs="Tahoma"/>
          <w:bCs/>
          <w:color w:val="auto"/>
        </w:rPr>
        <w:t xml:space="preserve"> en la suma de $1.953</w:t>
      </w:r>
      <w:r w:rsidR="00782F33">
        <w:rPr>
          <w:rFonts w:ascii="Tahoma" w:eastAsia="Times New Roman" w:hAnsi="Tahoma" w:cs="Tahoma"/>
          <w:bCs/>
          <w:color w:val="auto"/>
        </w:rPr>
        <w:t xml:space="preserve"> millones</w:t>
      </w:r>
      <w:r w:rsidR="00521391">
        <w:rPr>
          <w:rFonts w:ascii="Tahoma" w:eastAsia="Times New Roman" w:hAnsi="Tahoma" w:cs="Tahoma"/>
          <w:bCs/>
          <w:color w:val="auto"/>
        </w:rPr>
        <w:t>, Recursos de Capital</w:t>
      </w:r>
      <w:r>
        <w:rPr>
          <w:rFonts w:ascii="Tahoma" w:eastAsia="Times New Roman" w:hAnsi="Tahoma" w:cs="Tahoma"/>
          <w:bCs/>
          <w:color w:val="auto"/>
        </w:rPr>
        <w:t xml:space="preserve"> en la suma de $3.</w:t>
      </w:r>
      <w:r w:rsidR="00FA4922">
        <w:rPr>
          <w:rFonts w:ascii="Tahoma" w:eastAsia="Times New Roman" w:hAnsi="Tahoma" w:cs="Tahoma"/>
          <w:bCs/>
          <w:color w:val="auto"/>
        </w:rPr>
        <w:t>45</w:t>
      </w:r>
      <w:r>
        <w:rPr>
          <w:rFonts w:ascii="Tahoma" w:eastAsia="Times New Roman" w:hAnsi="Tahoma" w:cs="Tahoma"/>
          <w:bCs/>
          <w:color w:val="auto"/>
        </w:rPr>
        <w:t>0</w:t>
      </w:r>
      <w:r w:rsidR="00782F33">
        <w:rPr>
          <w:rFonts w:ascii="Tahoma" w:eastAsia="Times New Roman" w:hAnsi="Tahoma" w:cs="Tahoma"/>
          <w:bCs/>
          <w:color w:val="auto"/>
        </w:rPr>
        <w:t xml:space="preserve"> millones</w:t>
      </w:r>
      <w:r w:rsidR="00521391">
        <w:rPr>
          <w:rFonts w:ascii="Tahoma" w:eastAsia="Times New Roman" w:hAnsi="Tahoma" w:cs="Tahoma"/>
          <w:bCs/>
          <w:color w:val="auto"/>
        </w:rPr>
        <w:t xml:space="preserve"> y </w:t>
      </w:r>
      <w:r w:rsidR="00782F33">
        <w:rPr>
          <w:rFonts w:ascii="Tahoma" w:eastAsia="Times New Roman" w:hAnsi="Tahoma" w:cs="Tahoma"/>
          <w:bCs/>
          <w:color w:val="auto"/>
        </w:rPr>
        <w:t xml:space="preserve">el </w:t>
      </w:r>
      <w:r w:rsidR="00521391">
        <w:rPr>
          <w:rFonts w:ascii="Tahoma" w:eastAsia="Times New Roman" w:hAnsi="Tahoma" w:cs="Tahoma"/>
          <w:bCs/>
          <w:color w:val="auto"/>
        </w:rPr>
        <w:t>Sistema General de Regalías</w:t>
      </w:r>
      <w:r>
        <w:rPr>
          <w:rFonts w:ascii="Tahoma" w:eastAsia="Times New Roman" w:hAnsi="Tahoma" w:cs="Tahoma"/>
          <w:bCs/>
          <w:color w:val="auto"/>
        </w:rPr>
        <w:t xml:space="preserve"> en la suma de $1.838</w:t>
      </w:r>
      <w:r w:rsidR="00782F33">
        <w:rPr>
          <w:rFonts w:ascii="Tahoma" w:eastAsia="Times New Roman" w:hAnsi="Tahoma" w:cs="Tahoma"/>
          <w:bCs/>
          <w:color w:val="auto"/>
        </w:rPr>
        <w:t xml:space="preserve"> millones</w:t>
      </w:r>
      <w:r w:rsidR="002D5091">
        <w:rPr>
          <w:rFonts w:ascii="Tahoma" w:eastAsia="Times New Roman" w:hAnsi="Tahoma" w:cs="Tahoma"/>
          <w:bCs/>
          <w:color w:val="auto"/>
        </w:rPr>
        <w:t>.</w:t>
      </w:r>
      <w:r w:rsidR="00EE543C">
        <w:rPr>
          <w:rFonts w:ascii="Tahoma" w:eastAsia="Times New Roman" w:hAnsi="Tahoma" w:cs="Tahoma"/>
          <w:bCs/>
          <w:color w:val="auto"/>
        </w:rPr>
        <w:t xml:space="preserve"> Ver tabla.</w:t>
      </w:r>
    </w:p>
    <w:p w:rsidR="00EE543C" w:rsidRDefault="00EE543C" w:rsidP="00521391">
      <w:pPr>
        <w:tabs>
          <w:tab w:val="left" w:pos="2835"/>
        </w:tabs>
        <w:spacing w:before="0" w:after="0" w:line="19" w:lineRule="atLeast"/>
        <w:jc w:val="both"/>
        <w:rPr>
          <w:rFonts w:ascii="Tahoma" w:eastAsia="Times New Roman" w:hAnsi="Tahoma" w:cs="Tahoma"/>
          <w:bCs/>
          <w:color w:val="auto"/>
        </w:rPr>
      </w:pPr>
    </w:p>
    <w:p w:rsidR="00231ECA" w:rsidRDefault="00231ECA" w:rsidP="00521391">
      <w:pPr>
        <w:tabs>
          <w:tab w:val="left" w:pos="2835"/>
        </w:tabs>
        <w:spacing w:before="0" w:after="0" w:line="19" w:lineRule="atLeast"/>
        <w:jc w:val="both"/>
        <w:rPr>
          <w:rFonts w:ascii="Tahoma" w:eastAsia="Times New Roman" w:hAnsi="Tahoma" w:cs="Tahoma"/>
          <w:bCs/>
          <w:color w:val="auto"/>
        </w:rPr>
      </w:pPr>
    </w:p>
    <w:p w:rsidR="00EE543C" w:rsidRDefault="00EE543C" w:rsidP="00EE543C">
      <w:pPr>
        <w:tabs>
          <w:tab w:val="left" w:pos="2835"/>
        </w:tabs>
        <w:spacing w:before="0" w:after="0" w:line="19" w:lineRule="atLeast"/>
        <w:jc w:val="center"/>
        <w:rPr>
          <w:rFonts w:ascii="Tahoma" w:eastAsia="Times New Roman" w:hAnsi="Tahoma" w:cs="Tahoma"/>
          <w:bCs/>
          <w:color w:val="auto"/>
        </w:rPr>
      </w:pPr>
      <w:r w:rsidRPr="00EE543C">
        <w:rPr>
          <w:noProof/>
        </w:rPr>
        <w:drawing>
          <wp:inline distT="0" distB="0" distL="0" distR="0" wp14:anchorId="20AB0E80" wp14:editId="5D57FF64">
            <wp:extent cx="5602975" cy="1729740"/>
            <wp:effectExtent l="0" t="0" r="0" b="381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612130" cy="1732566"/>
                    </a:xfrm>
                    <a:prstGeom prst="rect">
                      <a:avLst/>
                    </a:prstGeom>
                  </pic:spPr>
                </pic:pic>
              </a:graphicData>
            </a:graphic>
          </wp:inline>
        </w:drawing>
      </w:r>
    </w:p>
    <w:p w:rsidR="00EE40F7" w:rsidRDefault="00EE40F7" w:rsidP="009848DF">
      <w:pPr>
        <w:tabs>
          <w:tab w:val="left" w:pos="2835"/>
        </w:tabs>
        <w:spacing w:before="0" w:after="0" w:line="19" w:lineRule="atLeast"/>
        <w:jc w:val="both"/>
        <w:rPr>
          <w:rFonts w:ascii="Tahoma" w:eastAsia="Times New Roman" w:hAnsi="Tahoma" w:cs="Tahoma"/>
          <w:bCs/>
          <w:color w:val="auto"/>
        </w:rPr>
      </w:pPr>
    </w:p>
    <w:p w:rsidR="00B51E12" w:rsidRDefault="00201E97" w:rsidP="001F11A4">
      <w:pPr>
        <w:tabs>
          <w:tab w:val="left" w:pos="2835"/>
        </w:tabs>
        <w:spacing w:before="0" w:after="0" w:line="19" w:lineRule="atLeast"/>
        <w:jc w:val="center"/>
        <w:rPr>
          <w:rFonts w:ascii="Tahoma" w:eastAsia="Times New Roman" w:hAnsi="Tahoma" w:cs="Tahoma"/>
          <w:bCs/>
          <w:color w:val="auto"/>
        </w:rPr>
      </w:pPr>
      <w:r w:rsidRPr="00201E97">
        <w:rPr>
          <w:noProof/>
        </w:rPr>
        <w:lastRenderedPageBreak/>
        <w:drawing>
          <wp:inline distT="0" distB="0" distL="0" distR="0" wp14:anchorId="63B3C934" wp14:editId="033AB413">
            <wp:extent cx="5433060" cy="300990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441152" cy="3014383"/>
                    </a:xfrm>
                    <a:prstGeom prst="rect">
                      <a:avLst/>
                    </a:prstGeom>
                  </pic:spPr>
                </pic:pic>
              </a:graphicData>
            </a:graphic>
          </wp:inline>
        </w:drawing>
      </w:r>
    </w:p>
    <w:p w:rsidR="00FA4922" w:rsidRDefault="00FA4922" w:rsidP="009848DF">
      <w:pPr>
        <w:tabs>
          <w:tab w:val="left" w:pos="2835"/>
        </w:tabs>
        <w:spacing w:before="0" w:after="0" w:line="19" w:lineRule="atLeast"/>
        <w:jc w:val="both"/>
        <w:rPr>
          <w:rFonts w:ascii="Tahoma" w:eastAsia="Times New Roman" w:hAnsi="Tahoma" w:cs="Tahoma"/>
          <w:bCs/>
          <w:color w:val="auto"/>
        </w:rPr>
      </w:pPr>
    </w:p>
    <w:p w:rsidR="00B33ABA" w:rsidRDefault="00B33ABA" w:rsidP="00256F6A">
      <w:pPr>
        <w:tabs>
          <w:tab w:val="left" w:pos="5667"/>
        </w:tabs>
        <w:spacing w:before="0" w:after="0" w:line="19" w:lineRule="atLeast"/>
        <w:jc w:val="both"/>
        <w:rPr>
          <w:rFonts w:ascii="Tahoma" w:eastAsia="Times New Roman" w:hAnsi="Tahoma" w:cs="Tahoma"/>
          <w:bCs/>
          <w:color w:val="auto"/>
        </w:rPr>
      </w:pPr>
    </w:p>
    <w:p w:rsidR="00B33ABA" w:rsidRDefault="00B33ABA" w:rsidP="00256F6A">
      <w:pPr>
        <w:tabs>
          <w:tab w:val="left" w:pos="5667"/>
        </w:tabs>
        <w:spacing w:before="0" w:after="0" w:line="19" w:lineRule="atLeast"/>
        <w:jc w:val="both"/>
        <w:rPr>
          <w:rFonts w:ascii="Tahoma" w:eastAsia="Times New Roman" w:hAnsi="Tahoma" w:cs="Tahoma"/>
          <w:b/>
          <w:bCs/>
          <w:color w:val="auto"/>
        </w:rPr>
      </w:pPr>
      <w:r w:rsidRPr="00B33ABA">
        <w:rPr>
          <w:rFonts w:ascii="Tahoma" w:eastAsia="Times New Roman" w:hAnsi="Tahoma" w:cs="Tahoma"/>
          <w:b/>
          <w:bCs/>
          <w:color w:val="auto"/>
        </w:rPr>
        <w:t>FUENTES DE FINANCIACION PRESUPUESTO</w:t>
      </w:r>
    </w:p>
    <w:p w:rsidR="00B33ABA" w:rsidRPr="00B33ABA" w:rsidRDefault="00B33ABA" w:rsidP="00256F6A">
      <w:pPr>
        <w:tabs>
          <w:tab w:val="left" w:pos="5667"/>
        </w:tabs>
        <w:spacing w:before="0" w:after="0" w:line="19" w:lineRule="atLeast"/>
        <w:jc w:val="both"/>
        <w:rPr>
          <w:rFonts w:ascii="Tahoma" w:eastAsia="Times New Roman" w:hAnsi="Tahoma" w:cs="Tahoma"/>
          <w:b/>
          <w:bCs/>
          <w:color w:val="auto"/>
        </w:rPr>
      </w:pPr>
    </w:p>
    <w:p w:rsidR="00256F6A" w:rsidRDefault="004B1676" w:rsidP="00256F6A">
      <w:pPr>
        <w:tabs>
          <w:tab w:val="left" w:pos="5667"/>
        </w:tabs>
        <w:spacing w:before="0" w:after="0" w:line="19" w:lineRule="atLeast"/>
        <w:jc w:val="both"/>
        <w:rPr>
          <w:rFonts w:ascii="Tahoma" w:eastAsia="Times New Roman" w:hAnsi="Tahoma" w:cs="Tahoma"/>
          <w:bCs/>
          <w:color w:val="auto"/>
        </w:rPr>
      </w:pPr>
      <w:r>
        <w:rPr>
          <w:rFonts w:ascii="Tahoma" w:eastAsia="Times New Roman" w:hAnsi="Tahoma" w:cs="Tahoma"/>
          <w:bCs/>
          <w:color w:val="auto"/>
        </w:rPr>
        <w:t xml:space="preserve">Las principales fuentes </w:t>
      </w:r>
      <w:r w:rsidR="00745F39">
        <w:rPr>
          <w:rFonts w:ascii="Tahoma" w:eastAsia="Times New Roman" w:hAnsi="Tahoma" w:cs="Tahoma"/>
          <w:bCs/>
          <w:color w:val="auto"/>
        </w:rPr>
        <w:t xml:space="preserve">que </w:t>
      </w:r>
      <w:r>
        <w:rPr>
          <w:rFonts w:ascii="Tahoma" w:eastAsia="Times New Roman" w:hAnsi="Tahoma" w:cs="Tahoma"/>
          <w:bCs/>
          <w:color w:val="auto"/>
        </w:rPr>
        <w:t>financia</w:t>
      </w:r>
      <w:r w:rsidR="00745F39">
        <w:rPr>
          <w:rFonts w:ascii="Tahoma" w:eastAsia="Times New Roman" w:hAnsi="Tahoma" w:cs="Tahoma"/>
          <w:bCs/>
          <w:color w:val="auto"/>
        </w:rPr>
        <w:t xml:space="preserve">ron </w:t>
      </w:r>
      <w:r>
        <w:rPr>
          <w:rFonts w:ascii="Tahoma" w:eastAsia="Times New Roman" w:hAnsi="Tahoma" w:cs="Tahoma"/>
          <w:bCs/>
          <w:color w:val="auto"/>
        </w:rPr>
        <w:t>el presupuesto del Municipio</w:t>
      </w:r>
      <w:r w:rsidR="00D27BCA">
        <w:rPr>
          <w:rFonts w:ascii="Tahoma" w:eastAsia="Times New Roman" w:hAnsi="Tahoma" w:cs="Tahoma"/>
          <w:bCs/>
          <w:color w:val="auto"/>
        </w:rPr>
        <w:t xml:space="preserve"> de Lérida</w:t>
      </w:r>
      <w:r>
        <w:rPr>
          <w:rFonts w:ascii="Tahoma" w:eastAsia="Times New Roman" w:hAnsi="Tahoma" w:cs="Tahoma"/>
          <w:bCs/>
          <w:color w:val="auto"/>
        </w:rPr>
        <w:t xml:space="preserve"> fueron</w:t>
      </w:r>
      <w:r w:rsidR="00EF1F54">
        <w:rPr>
          <w:rFonts w:ascii="Tahoma" w:eastAsia="Times New Roman" w:hAnsi="Tahoma" w:cs="Tahoma"/>
          <w:bCs/>
          <w:color w:val="auto"/>
        </w:rPr>
        <w:t xml:space="preserve"> Sistema General de Participaciones en un 34%, Ingresos Tributarios en un 20%, Ingresos no Tributarios 14%, Recursos de Capital 15%, Convenios 9% y</w:t>
      </w:r>
      <w:r w:rsidR="00CB6457">
        <w:rPr>
          <w:rFonts w:ascii="Tahoma" w:eastAsia="Times New Roman" w:hAnsi="Tahoma" w:cs="Tahoma"/>
          <w:bCs/>
          <w:color w:val="auto"/>
        </w:rPr>
        <w:t xml:space="preserve"> sistema General de Regalías 8%.</w:t>
      </w:r>
    </w:p>
    <w:p w:rsidR="003F4BDE" w:rsidRDefault="003F4BDE" w:rsidP="00256F6A">
      <w:pPr>
        <w:tabs>
          <w:tab w:val="left" w:pos="5667"/>
        </w:tabs>
        <w:spacing w:before="0" w:after="0" w:line="19" w:lineRule="atLeast"/>
        <w:jc w:val="both"/>
        <w:rPr>
          <w:rFonts w:ascii="Tahoma" w:eastAsia="Times New Roman" w:hAnsi="Tahoma" w:cs="Tahoma"/>
          <w:bCs/>
          <w:color w:val="auto"/>
        </w:rPr>
      </w:pPr>
    </w:p>
    <w:p w:rsidR="001C1EA3" w:rsidRDefault="00256F6A" w:rsidP="006F26B2">
      <w:pPr>
        <w:tabs>
          <w:tab w:val="left" w:pos="5667"/>
        </w:tabs>
        <w:spacing w:before="0" w:after="0" w:line="19" w:lineRule="atLeast"/>
        <w:jc w:val="both"/>
        <w:rPr>
          <w:rFonts w:ascii="Tahoma" w:hAnsi="Tahoma" w:cs="Tahoma"/>
          <w:noProof/>
          <w:color w:val="FF0000"/>
        </w:rPr>
      </w:pPr>
      <w:r>
        <w:rPr>
          <w:rFonts w:ascii="Tahoma" w:eastAsia="Times New Roman" w:hAnsi="Tahoma" w:cs="Tahoma"/>
          <w:bCs/>
          <w:color w:val="auto"/>
        </w:rPr>
        <w:lastRenderedPageBreak/>
        <w:t xml:space="preserve"> </w:t>
      </w:r>
      <w:r w:rsidR="001C1EA3">
        <w:rPr>
          <w:rFonts w:ascii="Tahoma" w:hAnsi="Tahoma" w:cs="Tahoma"/>
          <w:noProof/>
          <w:color w:val="FF0000"/>
        </w:rPr>
        <w:drawing>
          <wp:inline distT="0" distB="0" distL="0" distR="0" wp14:anchorId="061DACEA" wp14:editId="3B7F4009">
            <wp:extent cx="5486400" cy="2987040"/>
            <wp:effectExtent l="0" t="0" r="19050" b="22860"/>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073CF" w:rsidRDefault="005073CF" w:rsidP="009848DF">
      <w:pPr>
        <w:tabs>
          <w:tab w:val="left" w:pos="2835"/>
        </w:tabs>
        <w:spacing w:before="0" w:after="0" w:line="19" w:lineRule="atLeast"/>
        <w:jc w:val="both"/>
        <w:rPr>
          <w:rFonts w:ascii="Tahoma" w:hAnsi="Tahoma" w:cs="Tahoma"/>
          <w:noProof/>
          <w:color w:val="auto"/>
        </w:rPr>
      </w:pPr>
    </w:p>
    <w:p w:rsidR="00FB2024" w:rsidRDefault="005073CF" w:rsidP="009848DF">
      <w:pPr>
        <w:tabs>
          <w:tab w:val="left" w:pos="2835"/>
        </w:tabs>
        <w:spacing w:before="0" w:after="0" w:line="19" w:lineRule="atLeast"/>
        <w:jc w:val="both"/>
        <w:rPr>
          <w:rFonts w:ascii="Tahoma" w:hAnsi="Tahoma" w:cs="Tahoma"/>
          <w:b/>
          <w:noProof/>
          <w:color w:val="auto"/>
        </w:rPr>
      </w:pPr>
      <w:r w:rsidRPr="0054263E">
        <w:rPr>
          <w:rFonts w:ascii="Tahoma" w:hAnsi="Tahoma" w:cs="Tahoma"/>
          <w:b/>
          <w:noProof/>
          <w:color w:val="auto"/>
        </w:rPr>
        <w:t>COMPORTAMIENTO DEL RECAUDO:</w:t>
      </w:r>
    </w:p>
    <w:p w:rsidR="00231ECA" w:rsidRPr="0054263E" w:rsidRDefault="00231ECA" w:rsidP="009848DF">
      <w:pPr>
        <w:tabs>
          <w:tab w:val="left" w:pos="2835"/>
        </w:tabs>
        <w:spacing w:before="0" w:after="0" w:line="19" w:lineRule="atLeast"/>
        <w:jc w:val="both"/>
        <w:rPr>
          <w:rFonts w:ascii="Tahoma" w:hAnsi="Tahoma" w:cs="Tahoma"/>
          <w:b/>
          <w:noProof/>
          <w:color w:val="auto"/>
        </w:rPr>
      </w:pPr>
    </w:p>
    <w:p w:rsidR="00915224" w:rsidRDefault="00915224" w:rsidP="009848DF">
      <w:pPr>
        <w:tabs>
          <w:tab w:val="left" w:pos="2835"/>
        </w:tabs>
        <w:spacing w:before="0" w:after="0" w:line="19" w:lineRule="atLeast"/>
        <w:jc w:val="both"/>
        <w:rPr>
          <w:rFonts w:ascii="Tahoma" w:hAnsi="Tahoma" w:cs="Tahoma"/>
          <w:noProof/>
          <w:color w:val="auto"/>
        </w:rPr>
      </w:pPr>
    </w:p>
    <w:p w:rsidR="00915224" w:rsidRDefault="00915224" w:rsidP="009848DF">
      <w:pPr>
        <w:tabs>
          <w:tab w:val="left" w:pos="2835"/>
        </w:tabs>
        <w:spacing w:before="0" w:after="0" w:line="19" w:lineRule="atLeast"/>
        <w:jc w:val="both"/>
        <w:rPr>
          <w:rFonts w:ascii="Tahoma" w:hAnsi="Tahoma" w:cs="Tahoma"/>
          <w:noProof/>
          <w:color w:val="auto"/>
        </w:rPr>
      </w:pPr>
      <w:r w:rsidRPr="00915224">
        <w:rPr>
          <w:noProof/>
        </w:rPr>
        <w:drawing>
          <wp:inline distT="0" distB="0" distL="0" distR="0" wp14:anchorId="17952A27" wp14:editId="507EC673">
            <wp:extent cx="5615940" cy="2103120"/>
            <wp:effectExtent l="0" t="0" r="381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12130" cy="2101693"/>
                    </a:xfrm>
                    <a:prstGeom prst="rect">
                      <a:avLst/>
                    </a:prstGeom>
                  </pic:spPr>
                </pic:pic>
              </a:graphicData>
            </a:graphic>
          </wp:inline>
        </w:drawing>
      </w:r>
    </w:p>
    <w:p w:rsidR="00915224" w:rsidRDefault="00915224" w:rsidP="005073CF">
      <w:pPr>
        <w:tabs>
          <w:tab w:val="left" w:pos="2835"/>
        </w:tabs>
        <w:spacing w:before="0" w:after="0" w:line="19" w:lineRule="atLeast"/>
        <w:jc w:val="both"/>
        <w:rPr>
          <w:rFonts w:ascii="Tahoma" w:hAnsi="Tahoma" w:cs="Tahoma"/>
          <w:noProof/>
          <w:color w:val="auto"/>
        </w:rPr>
      </w:pPr>
    </w:p>
    <w:p w:rsidR="005073CF" w:rsidRDefault="005073CF" w:rsidP="005073CF">
      <w:pPr>
        <w:tabs>
          <w:tab w:val="left" w:pos="2835"/>
        </w:tabs>
        <w:spacing w:before="0" w:after="0" w:line="19" w:lineRule="atLeast"/>
        <w:jc w:val="both"/>
        <w:rPr>
          <w:rFonts w:ascii="Tahoma" w:hAnsi="Tahoma" w:cs="Tahoma"/>
          <w:noProof/>
          <w:color w:val="FF0000"/>
        </w:rPr>
      </w:pPr>
      <w:r>
        <w:rPr>
          <w:rFonts w:ascii="Tahoma" w:hAnsi="Tahoma" w:cs="Tahoma"/>
          <w:noProof/>
          <w:color w:val="auto"/>
        </w:rPr>
        <w:t>E</w:t>
      </w:r>
      <w:r w:rsidRPr="00836C5C">
        <w:rPr>
          <w:rFonts w:ascii="Tahoma" w:hAnsi="Tahoma" w:cs="Tahoma"/>
          <w:noProof/>
          <w:color w:val="auto"/>
        </w:rPr>
        <w:t xml:space="preserve">l presupuesto de ingresos </w:t>
      </w:r>
      <w:r w:rsidR="005E1D3C">
        <w:rPr>
          <w:rFonts w:ascii="Tahoma" w:hAnsi="Tahoma" w:cs="Tahoma"/>
          <w:noProof/>
          <w:color w:val="auto"/>
        </w:rPr>
        <w:t xml:space="preserve">definitivo </w:t>
      </w:r>
      <w:r w:rsidRPr="00836C5C">
        <w:rPr>
          <w:rFonts w:ascii="Tahoma" w:hAnsi="Tahoma" w:cs="Tahoma"/>
          <w:noProof/>
          <w:color w:val="auto"/>
        </w:rPr>
        <w:t>del Municipio de Lérida a Diciembre 31 de 2015</w:t>
      </w:r>
      <w:r w:rsidR="005E1D3C">
        <w:rPr>
          <w:rFonts w:ascii="Tahoma" w:hAnsi="Tahoma" w:cs="Tahoma"/>
          <w:noProof/>
          <w:color w:val="auto"/>
        </w:rPr>
        <w:t xml:space="preserve"> fue de $22.</w:t>
      </w:r>
      <w:r w:rsidR="00915224">
        <w:rPr>
          <w:rFonts w:ascii="Tahoma" w:hAnsi="Tahoma" w:cs="Tahoma"/>
          <w:noProof/>
          <w:color w:val="auto"/>
        </w:rPr>
        <w:t>640.272.329.</w:t>
      </w:r>
      <w:r w:rsidR="005E1D3C">
        <w:rPr>
          <w:rFonts w:ascii="Tahoma" w:hAnsi="Tahoma" w:cs="Tahoma"/>
          <w:noProof/>
          <w:color w:val="auto"/>
        </w:rPr>
        <w:t xml:space="preserve">oo, de los cuales se recaudó la suma de </w:t>
      </w:r>
      <w:r w:rsidR="005E1D3C" w:rsidRPr="00767FB9">
        <w:rPr>
          <w:rFonts w:ascii="Tahoma" w:hAnsi="Tahoma" w:cs="Tahoma"/>
          <w:noProof/>
          <w:color w:val="auto"/>
        </w:rPr>
        <w:t>$2</w:t>
      </w:r>
      <w:r w:rsidR="00915224" w:rsidRPr="00767FB9">
        <w:rPr>
          <w:rFonts w:ascii="Tahoma" w:hAnsi="Tahoma" w:cs="Tahoma"/>
          <w:noProof/>
          <w:color w:val="auto"/>
        </w:rPr>
        <w:t>0</w:t>
      </w:r>
      <w:r w:rsidR="005E1D3C" w:rsidRPr="00767FB9">
        <w:rPr>
          <w:rFonts w:ascii="Tahoma" w:hAnsi="Tahoma" w:cs="Tahoma"/>
          <w:noProof/>
          <w:color w:val="auto"/>
        </w:rPr>
        <w:t>.019.793.623,</w:t>
      </w:r>
      <w:r w:rsidR="005E1D3C">
        <w:rPr>
          <w:rFonts w:ascii="Tahoma" w:hAnsi="Tahoma" w:cs="Tahoma"/>
          <w:noProof/>
          <w:color w:val="auto"/>
        </w:rPr>
        <w:t xml:space="preserve">oo equivalentes al </w:t>
      </w:r>
      <w:r w:rsidR="00915224">
        <w:rPr>
          <w:rFonts w:ascii="Tahoma" w:hAnsi="Tahoma" w:cs="Tahoma"/>
          <w:noProof/>
          <w:color w:val="auto"/>
        </w:rPr>
        <w:t>88</w:t>
      </w:r>
      <w:r w:rsidR="005E1D3C">
        <w:rPr>
          <w:rFonts w:ascii="Tahoma" w:hAnsi="Tahoma" w:cs="Tahoma"/>
          <w:noProof/>
          <w:color w:val="auto"/>
        </w:rPr>
        <w:t>%</w:t>
      </w:r>
      <w:r>
        <w:rPr>
          <w:rFonts w:ascii="Tahoma" w:hAnsi="Tahoma" w:cs="Tahoma"/>
          <w:noProof/>
          <w:color w:val="auto"/>
        </w:rPr>
        <w:t xml:space="preserve">.  De lo anterior se evidenció </w:t>
      </w:r>
      <w:r>
        <w:rPr>
          <w:rFonts w:ascii="Tahoma" w:hAnsi="Tahoma" w:cs="Tahoma"/>
        </w:rPr>
        <w:t xml:space="preserve">que el Municipio de Lérida </w:t>
      </w:r>
      <w:r w:rsidR="000448FA">
        <w:rPr>
          <w:rFonts w:ascii="Tahoma" w:hAnsi="Tahoma" w:cs="Tahoma"/>
        </w:rPr>
        <w:t>no cumplió con la meta del Recaudo, toda vez que quedó pendiente</w:t>
      </w:r>
      <w:r w:rsidR="00B33ABA">
        <w:rPr>
          <w:rFonts w:ascii="Tahoma" w:hAnsi="Tahoma" w:cs="Tahoma"/>
        </w:rPr>
        <w:t xml:space="preserve"> por recaudar la suma de $2.620 </w:t>
      </w:r>
      <w:r w:rsidR="00B33ABA">
        <w:rPr>
          <w:rFonts w:ascii="Tahoma" w:hAnsi="Tahoma" w:cs="Tahoma"/>
        </w:rPr>
        <w:lastRenderedPageBreak/>
        <w:t>millones</w:t>
      </w:r>
      <w:r w:rsidR="000448FA">
        <w:rPr>
          <w:rFonts w:ascii="Tahoma" w:hAnsi="Tahoma" w:cs="Tahoma"/>
        </w:rPr>
        <w:t>, es decir el 12%, correspondiente</w:t>
      </w:r>
      <w:r w:rsidR="00767FB9">
        <w:rPr>
          <w:rFonts w:ascii="Tahoma" w:hAnsi="Tahoma" w:cs="Tahoma"/>
        </w:rPr>
        <w:t xml:space="preserve">s al impuesto Predial, Industria y comercio, Avisos y Tableros, Tasas, Multas, Convenios y Sistema General de Regalías, evidenciándose con ello </w:t>
      </w:r>
      <w:r w:rsidR="000448FA">
        <w:rPr>
          <w:rFonts w:ascii="Tahoma" w:hAnsi="Tahoma" w:cs="Tahoma"/>
        </w:rPr>
        <w:t>la falta de gestión para el recaudo</w:t>
      </w:r>
      <w:r w:rsidR="00950A8A">
        <w:rPr>
          <w:rFonts w:ascii="Tahoma" w:hAnsi="Tahoma" w:cs="Tahoma"/>
        </w:rPr>
        <w:t xml:space="preserve">. </w:t>
      </w:r>
    </w:p>
    <w:p w:rsidR="005073CF" w:rsidRDefault="005073CF" w:rsidP="00471A9A">
      <w:pPr>
        <w:tabs>
          <w:tab w:val="left" w:pos="3924"/>
        </w:tabs>
        <w:jc w:val="center"/>
        <w:rPr>
          <w:rFonts w:ascii="Tahoma" w:hAnsi="Tahoma" w:cs="Tahoma"/>
        </w:rPr>
      </w:pPr>
    </w:p>
    <w:p w:rsidR="00D27BCA" w:rsidRPr="00EE40F7" w:rsidRDefault="00EE40F7" w:rsidP="00EE40F7">
      <w:pPr>
        <w:pStyle w:val="Prrafodelista"/>
        <w:spacing w:before="0" w:after="0" w:line="19" w:lineRule="atLeast"/>
        <w:ind w:left="1080"/>
        <w:rPr>
          <w:rFonts w:ascii="Tahoma" w:hAnsi="Tahoma" w:cs="Tahoma"/>
          <w:b/>
        </w:rPr>
      </w:pPr>
      <w:r>
        <w:rPr>
          <w:rFonts w:ascii="Tahoma" w:hAnsi="Tahoma" w:cs="Tahoma"/>
          <w:b/>
        </w:rPr>
        <w:t xml:space="preserve">2.2   </w:t>
      </w:r>
      <w:r w:rsidR="00D27BCA" w:rsidRPr="00EE40F7">
        <w:rPr>
          <w:rFonts w:ascii="Tahoma" w:hAnsi="Tahoma" w:cs="Tahoma"/>
          <w:b/>
        </w:rPr>
        <w:t>ANALISIS A LA EJECUCION  PRESUPUESTAL DE  GASTOS</w:t>
      </w:r>
    </w:p>
    <w:p w:rsidR="00481490" w:rsidRDefault="00481490" w:rsidP="001D6862">
      <w:pPr>
        <w:spacing w:before="0" w:after="0"/>
        <w:jc w:val="both"/>
        <w:rPr>
          <w:rFonts w:ascii="Tahoma" w:hAnsi="Tahoma" w:cs="Tahoma"/>
          <w:bCs/>
          <w:color w:val="auto"/>
        </w:rPr>
      </w:pPr>
    </w:p>
    <w:p w:rsidR="00682367" w:rsidRDefault="00682367" w:rsidP="00682367">
      <w:pPr>
        <w:tabs>
          <w:tab w:val="left" w:pos="2835"/>
        </w:tabs>
        <w:spacing w:before="0" w:after="0" w:line="19" w:lineRule="atLeast"/>
        <w:jc w:val="both"/>
        <w:rPr>
          <w:rFonts w:ascii="Tahoma" w:eastAsia="Times New Roman" w:hAnsi="Tahoma" w:cs="Tahoma"/>
          <w:b/>
          <w:bCs/>
          <w:color w:val="auto"/>
        </w:rPr>
      </w:pPr>
      <w:r w:rsidRPr="005540CE">
        <w:rPr>
          <w:rFonts w:ascii="Tahoma" w:hAnsi="Tahoma" w:cs="Tahoma"/>
        </w:rPr>
        <w:t xml:space="preserve">El presupuesto </w:t>
      </w:r>
      <w:r>
        <w:rPr>
          <w:rFonts w:ascii="Tahoma" w:hAnsi="Tahoma" w:cs="Tahoma"/>
        </w:rPr>
        <w:t xml:space="preserve">de </w:t>
      </w:r>
      <w:r w:rsidR="00950A8A">
        <w:rPr>
          <w:rFonts w:ascii="Tahoma" w:hAnsi="Tahoma" w:cs="Tahoma"/>
        </w:rPr>
        <w:t>Gastos</w:t>
      </w:r>
      <w:r>
        <w:rPr>
          <w:rFonts w:ascii="Tahoma" w:hAnsi="Tahoma" w:cs="Tahoma"/>
        </w:rPr>
        <w:t xml:space="preserve"> del Municipio de Lérida para la vigencia fiscal 2015 fue aprobado en la cuantía </w:t>
      </w:r>
      <w:r w:rsidRPr="00E85A59">
        <w:rPr>
          <w:rFonts w:ascii="Tahoma" w:hAnsi="Tahoma" w:cs="Tahoma"/>
        </w:rPr>
        <w:t xml:space="preserve">de </w:t>
      </w:r>
      <w:r w:rsidRPr="00E85A59">
        <w:rPr>
          <w:rFonts w:ascii="Tahoma" w:hAnsi="Tahoma" w:cs="Tahoma"/>
          <w:b/>
          <w:color w:val="auto"/>
        </w:rPr>
        <w:t>$13.605.184.455.oo),</w:t>
      </w:r>
      <w:r w:rsidR="00950A8A" w:rsidRPr="00E85A59">
        <w:rPr>
          <w:rFonts w:ascii="Tahoma" w:hAnsi="Tahoma" w:cs="Tahoma"/>
          <w:b/>
          <w:color w:val="auto"/>
        </w:rPr>
        <w:t xml:space="preserve"> </w:t>
      </w:r>
      <w:r w:rsidR="00950A8A" w:rsidRPr="00E85A59">
        <w:rPr>
          <w:rFonts w:ascii="Tahoma" w:hAnsi="Tahoma" w:cs="Tahoma"/>
          <w:color w:val="auto"/>
        </w:rPr>
        <w:t>presentó</w:t>
      </w:r>
      <w:r>
        <w:rPr>
          <w:rFonts w:ascii="Tahoma" w:hAnsi="Tahoma" w:cs="Tahoma"/>
          <w:b/>
          <w:color w:val="auto"/>
        </w:rPr>
        <w:t xml:space="preserve"> </w:t>
      </w:r>
      <w:r w:rsidRPr="00DA6502">
        <w:rPr>
          <w:rFonts w:ascii="Tahoma" w:hAnsi="Tahoma" w:cs="Tahoma"/>
          <w:color w:val="auto"/>
        </w:rPr>
        <w:t>adiciones</w:t>
      </w:r>
      <w:r>
        <w:rPr>
          <w:rFonts w:ascii="Tahoma" w:hAnsi="Tahoma" w:cs="Tahoma"/>
          <w:color w:val="auto"/>
        </w:rPr>
        <w:t xml:space="preserve"> presupuestales por</w:t>
      </w:r>
      <w:r w:rsidRPr="00DA6502">
        <w:rPr>
          <w:rFonts w:ascii="Tahoma" w:hAnsi="Tahoma" w:cs="Tahoma"/>
          <w:color w:val="auto"/>
        </w:rPr>
        <w:t xml:space="preserve"> $</w:t>
      </w:r>
      <w:r w:rsidRPr="00DA6502">
        <w:rPr>
          <w:rFonts w:ascii="Tahoma" w:eastAsia="Times New Roman" w:hAnsi="Tahoma" w:cs="Tahoma"/>
          <w:bCs/>
          <w:color w:val="auto"/>
        </w:rPr>
        <w:t>9.053.912.824</w:t>
      </w:r>
      <w:r>
        <w:rPr>
          <w:rFonts w:ascii="Tahoma" w:eastAsia="Times New Roman" w:hAnsi="Tahoma" w:cs="Tahoma"/>
          <w:bCs/>
          <w:color w:val="auto"/>
        </w:rPr>
        <w:t>.oo y reducciones por $18.824.950.oo, para un presupuesto definitivo a Diciembre 31 de 2015 de $</w:t>
      </w:r>
      <w:r w:rsidRPr="00DA6502">
        <w:rPr>
          <w:rFonts w:ascii="Tahoma" w:eastAsia="Times New Roman" w:hAnsi="Tahoma" w:cs="Tahoma"/>
          <w:b/>
          <w:bCs/>
          <w:color w:val="auto"/>
        </w:rPr>
        <w:t>22.640.272.329</w:t>
      </w:r>
      <w:r>
        <w:rPr>
          <w:rFonts w:ascii="Tahoma" w:eastAsia="Times New Roman" w:hAnsi="Tahoma" w:cs="Tahoma"/>
          <w:b/>
          <w:bCs/>
          <w:color w:val="auto"/>
        </w:rPr>
        <w:t>.oo.</w:t>
      </w:r>
    </w:p>
    <w:p w:rsidR="00231ECA" w:rsidRDefault="00231ECA" w:rsidP="00682367">
      <w:pPr>
        <w:tabs>
          <w:tab w:val="left" w:pos="2835"/>
        </w:tabs>
        <w:spacing w:before="0" w:after="0" w:line="19" w:lineRule="atLeast"/>
        <w:jc w:val="both"/>
        <w:rPr>
          <w:rFonts w:ascii="Tahoma" w:eastAsia="Times New Roman" w:hAnsi="Tahoma" w:cs="Tahoma"/>
          <w:b/>
          <w:bCs/>
          <w:color w:val="auto"/>
        </w:rPr>
      </w:pPr>
    </w:p>
    <w:p w:rsidR="00682367" w:rsidRDefault="00682367" w:rsidP="00682367">
      <w:pPr>
        <w:tabs>
          <w:tab w:val="left" w:pos="2835"/>
        </w:tabs>
        <w:spacing w:before="0" w:after="0" w:line="19" w:lineRule="atLeast"/>
        <w:jc w:val="both"/>
        <w:rPr>
          <w:rFonts w:ascii="Tahoma" w:eastAsia="Times New Roman" w:hAnsi="Tahoma" w:cs="Tahoma"/>
          <w:b/>
          <w:bCs/>
          <w:color w:val="auto"/>
        </w:rPr>
      </w:pPr>
    </w:p>
    <w:tbl>
      <w:tblPr>
        <w:tblStyle w:val="Tablaconcuadrcula"/>
        <w:tblW w:w="0" w:type="auto"/>
        <w:tblLook w:val="04A0" w:firstRow="1" w:lastRow="0" w:firstColumn="1" w:lastColumn="0" w:noHBand="0" w:noVBand="1"/>
      </w:tblPr>
      <w:tblGrid>
        <w:gridCol w:w="2245"/>
        <w:gridCol w:w="1832"/>
        <w:gridCol w:w="2268"/>
        <w:gridCol w:w="2635"/>
      </w:tblGrid>
      <w:tr w:rsidR="00682367" w:rsidRPr="00BA1DE4" w:rsidTr="00B24C81">
        <w:tc>
          <w:tcPr>
            <w:tcW w:w="2245" w:type="dxa"/>
          </w:tcPr>
          <w:p w:rsidR="00682367" w:rsidRPr="00BA1DE4" w:rsidRDefault="00682367" w:rsidP="00B33ABA">
            <w:pPr>
              <w:tabs>
                <w:tab w:val="left" w:pos="2835"/>
              </w:tabs>
              <w:spacing w:before="0" w:line="19" w:lineRule="atLeast"/>
              <w:jc w:val="center"/>
              <w:rPr>
                <w:rFonts w:ascii="Tahoma" w:eastAsia="Times New Roman" w:hAnsi="Tahoma" w:cs="Tahoma"/>
                <w:bCs/>
                <w:color w:val="auto"/>
                <w:sz w:val="18"/>
                <w:szCs w:val="18"/>
              </w:rPr>
            </w:pPr>
            <w:r w:rsidRPr="00BA1DE4">
              <w:rPr>
                <w:rFonts w:ascii="Tahoma" w:eastAsia="Times New Roman" w:hAnsi="Tahoma" w:cs="Tahoma"/>
                <w:bCs/>
                <w:color w:val="auto"/>
                <w:sz w:val="18"/>
                <w:szCs w:val="18"/>
              </w:rPr>
              <w:t>PRESUPUESTO INICIAL</w:t>
            </w:r>
          </w:p>
        </w:tc>
        <w:tc>
          <w:tcPr>
            <w:tcW w:w="1832" w:type="dxa"/>
          </w:tcPr>
          <w:p w:rsidR="00682367" w:rsidRPr="00BA1DE4" w:rsidRDefault="00682367" w:rsidP="00B33ABA">
            <w:pPr>
              <w:tabs>
                <w:tab w:val="left" w:pos="2835"/>
              </w:tabs>
              <w:spacing w:before="0" w:line="19" w:lineRule="atLeast"/>
              <w:jc w:val="center"/>
              <w:rPr>
                <w:rFonts w:ascii="Tahoma" w:eastAsia="Times New Roman" w:hAnsi="Tahoma" w:cs="Tahoma"/>
                <w:bCs/>
                <w:color w:val="auto"/>
                <w:sz w:val="18"/>
                <w:szCs w:val="18"/>
              </w:rPr>
            </w:pPr>
            <w:r w:rsidRPr="00BA1DE4">
              <w:rPr>
                <w:rFonts w:ascii="Tahoma" w:eastAsia="Times New Roman" w:hAnsi="Tahoma" w:cs="Tahoma"/>
                <w:bCs/>
                <w:color w:val="auto"/>
                <w:sz w:val="18"/>
                <w:szCs w:val="18"/>
              </w:rPr>
              <w:t>ADICIONES</w:t>
            </w:r>
          </w:p>
        </w:tc>
        <w:tc>
          <w:tcPr>
            <w:tcW w:w="2268" w:type="dxa"/>
          </w:tcPr>
          <w:p w:rsidR="00682367" w:rsidRPr="00BA1DE4" w:rsidRDefault="00682367" w:rsidP="00B33ABA">
            <w:pPr>
              <w:tabs>
                <w:tab w:val="left" w:pos="2835"/>
              </w:tabs>
              <w:spacing w:before="0" w:line="19" w:lineRule="atLeast"/>
              <w:jc w:val="center"/>
              <w:rPr>
                <w:rFonts w:ascii="Tahoma" w:eastAsia="Times New Roman" w:hAnsi="Tahoma" w:cs="Tahoma"/>
                <w:bCs/>
                <w:color w:val="auto"/>
                <w:sz w:val="18"/>
                <w:szCs w:val="18"/>
              </w:rPr>
            </w:pPr>
            <w:r w:rsidRPr="00BA1DE4">
              <w:rPr>
                <w:rFonts w:ascii="Tahoma" w:eastAsia="Times New Roman" w:hAnsi="Tahoma" w:cs="Tahoma"/>
                <w:bCs/>
                <w:color w:val="auto"/>
                <w:sz w:val="18"/>
                <w:szCs w:val="18"/>
              </w:rPr>
              <w:t>REDUCCIONES</w:t>
            </w:r>
          </w:p>
        </w:tc>
        <w:tc>
          <w:tcPr>
            <w:tcW w:w="2635" w:type="dxa"/>
          </w:tcPr>
          <w:p w:rsidR="00682367" w:rsidRPr="00BA1DE4" w:rsidRDefault="00682367" w:rsidP="00B33ABA">
            <w:pPr>
              <w:tabs>
                <w:tab w:val="left" w:pos="2835"/>
              </w:tabs>
              <w:spacing w:before="0" w:line="19" w:lineRule="atLeast"/>
              <w:jc w:val="center"/>
              <w:rPr>
                <w:rFonts w:ascii="Tahoma" w:eastAsia="Times New Roman" w:hAnsi="Tahoma" w:cs="Tahoma"/>
                <w:bCs/>
                <w:color w:val="auto"/>
                <w:sz w:val="18"/>
                <w:szCs w:val="18"/>
              </w:rPr>
            </w:pPr>
            <w:r w:rsidRPr="00BA1DE4">
              <w:rPr>
                <w:rFonts w:ascii="Tahoma" w:eastAsia="Times New Roman" w:hAnsi="Tahoma" w:cs="Tahoma"/>
                <w:bCs/>
                <w:color w:val="auto"/>
                <w:sz w:val="18"/>
                <w:szCs w:val="18"/>
              </w:rPr>
              <w:t>PRESUPUESTO DEFINITIVO</w:t>
            </w:r>
          </w:p>
        </w:tc>
      </w:tr>
      <w:tr w:rsidR="00682367" w:rsidRPr="00BA1DE4" w:rsidTr="00B24C81">
        <w:tc>
          <w:tcPr>
            <w:tcW w:w="2245" w:type="dxa"/>
          </w:tcPr>
          <w:p w:rsidR="00682367" w:rsidRPr="00BA1DE4" w:rsidRDefault="00682367" w:rsidP="00B33ABA">
            <w:pPr>
              <w:tabs>
                <w:tab w:val="left" w:pos="2835"/>
              </w:tabs>
              <w:spacing w:before="0" w:line="19" w:lineRule="atLeast"/>
              <w:jc w:val="right"/>
              <w:rPr>
                <w:rFonts w:ascii="Tahoma" w:eastAsia="Times New Roman" w:hAnsi="Tahoma" w:cs="Tahoma"/>
                <w:bCs/>
                <w:color w:val="auto"/>
                <w:sz w:val="28"/>
                <w:szCs w:val="28"/>
                <w:vertAlign w:val="subscript"/>
              </w:rPr>
            </w:pPr>
            <w:r w:rsidRPr="00BA1DE4">
              <w:rPr>
                <w:rFonts w:ascii="Tahoma" w:hAnsi="Tahoma" w:cs="Tahoma"/>
                <w:color w:val="auto"/>
                <w:sz w:val="28"/>
                <w:szCs w:val="28"/>
                <w:vertAlign w:val="subscript"/>
              </w:rPr>
              <w:t>$13.605.184.455.oo</w:t>
            </w:r>
          </w:p>
        </w:tc>
        <w:tc>
          <w:tcPr>
            <w:tcW w:w="1832" w:type="dxa"/>
          </w:tcPr>
          <w:p w:rsidR="00682367" w:rsidRPr="00BA1DE4" w:rsidRDefault="00B33ABA" w:rsidP="00B33ABA">
            <w:pPr>
              <w:tabs>
                <w:tab w:val="left" w:pos="2835"/>
              </w:tabs>
              <w:spacing w:before="0" w:line="19" w:lineRule="atLeast"/>
              <w:jc w:val="right"/>
              <w:rPr>
                <w:rFonts w:ascii="Tahoma" w:eastAsia="Times New Roman" w:hAnsi="Tahoma" w:cs="Tahoma"/>
                <w:bCs/>
                <w:color w:val="auto"/>
                <w:sz w:val="28"/>
                <w:szCs w:val="28"/>
                <w:vertAlign w:val="subscript"/>
              </w:rPr>
            </w:pPr>
            <w:r>
              <w:rPr>
                <w:rFonts w:ascii="Tahoma" w:eastAsia="Times New Roman" w:hAnsi="Tahoma" w:cs="Tahoma"/>
                <w:bCs/>
                <w:color w:val="auto"/>
                <w:sz w:val="28"/>
                <w:szCs w:val="28"/>
                <w:vertAlign w:val="subscript"/>
              </w:rPr>
              <w:t>$</w:t>
            </w:r>
            <w:r w:rsidR="00682367" w:rsidRPr="00BA1DE4">
              <w:rPr>
                <w:rFonts w:ascii="Tahoma" w:eastAsia="Times New Roman" w:hAnsi="Tahoma" w:cs="Tahoma"/>
                <w:bCs/>
                <w:color w:val="auto"/>
                <w:sz w:val="28"/>
                <w:szCs w:val="28"/>
                <w:vertAlign w:val="subscript"/>
              </w:rPr>
              <w:t>9.053.912.824,oo</w:t>
            </w:r>
          </w:p>
        </w:tc>
        <w:tc>
          <w:tcPr>
            <w:tcW w:w="2268" w:type="dxa"/>
          </w:tcPr>
          <w:p w:rsidR="00682367" w:rsidRPr="00BA1DE4" w:rsidRDefault="00682367" w:rsidP="00B33ABA">
            <w:pPr>
              <w:tabs>
                <w:tab w:val="left" w:pos="2835"/>
              </w:tabs>
              <w:spacing w:before="0" w:line="19" w:lineRule="atLeast"/>
              <w:jc w:val="right"/>
              <w:rPr>
                <w:rFonts w:ascii="Tahoma" w:eastAsia="Times New Roman" w:hAnsi="Tahoma" w:cs="Tahoma"/>
                <w:bCs/>
                <w:color w:val="auto"/>
                <w:sz w:val="28"/>
                <w:szCs w:val="28"/>
                <w:vertAlign w:val="subscript"/>
              </w:rPr>
            </w:pPr>
            <w:r w:rsidRPr="00BA1DE4">
              <w:rPr>
                <w:rFonts w:ascii="Tahoma" w:eastAsia="Times New Roman" w:hAnsi="Tahoma" w:cs="Tahoma"/>
                <w:bCs/>
                <w:color w:val="auto"/>
                <w:sz w:val="28"/>
                <w:szCs w:val="28"/>
                <w:vertAlign w:val="subscript"/>
              </w:rPr>
              <w:t>$18.824.950.oo</w:t>
            </w:r>
          </w:p>
        </w:tc>
        <w:tc>
          <w:tcPr>
            <w:tcW w:w="2635" w:type="dxa"/>
          </w:tcPr>
          <w:p w:rsidR="00682367" w:rsidRPr="00BA1DE4" w:rsidRDefault="00682367" w:rsidP="00B33ABA">
            <w:pPr>
              <w:tabs>
                <w:tab w:val="left" w:pos="2835"/>
              </w:tabs>
              <w:spacing w:before="0" w:line="19" w:lineRule="atLeast"/>
              <w:jc w:val="right"/>
              <w:rPr>
                <w:rFonts w:ascii="Tahoma" w:eastAsia="Times New Roman" w:hAnsi="Tahoma" w:cs="Tahoma"/>
                <w:bCs/>
                <w:color w:val="auto"/>
                <w:sz w:val="28"/>
                <w:szCs w:val="28"/>
                <w:vertAlign w:val="subscript"/>
              </w:rPr>
            </w:pPr>
            <w:r w:rsidRPr="00BA1DE4">
              <w:rPr>
                <w:rFonts w:ascii="Tahoma" w:eastAsia="Times New Roman" w:hAnsi="Tahoma" w:cs="Tahoma"/>
                <w:bCs/>
                <w:color w:val="auto"/>
                <w:sz w:val="28"/>
                <w:szCs w:val="28"/>
                <w:vertAlign w:val="subscript"/>
              </w:rPr>
              <w:t>$22.640.272.329.oo</w:t>
            </w:r>
          </w:p>
        </w:tc>
      </w:tr>
    </w:tbl>
    <w:p w:rsidR="00682367" w:rsidRDefault="00682367" w:rsidP="00C142B1">
      <w:pPr>
        <w:spacing w:before="0" w:after="0"/>
        <w:jc w:val="both"/>
        <w:rPr>
          <w:rFonts w:ascii="Tahoma" w:hAnsi="Tahoma" w:cs="Tahoma"/>
          <w:szCs w:val="24"/>
        </w:rPr>
      </w:pPr>
    </w:p>
    <w:p w:rsidR="00231ECA" w:rsidRDefault="00231ECA" w:rsidP="00C142B1">
      <w:pPr>
        <w:spacing w:before="0" w:after="0"/>
        <w:jc w:val="both"/>
        <w:rPr>
          <w:rFonts w:ascii="Tahoma" w:hAnsi="Tahoma" w:cs="Tahoma"/>
          <w:szCs w:val="24"/>
        </w:rPr>
      </w:pPr>
    </w:p>
    <w:p w:rsidR="00C32B9A" w:rsidRDefault="00C32B9A" w:rsidP="00C32B9A">
      <w:pPr>
        <w:spacing w:before="0" w:after="0"/>
        <w:rPr>
          <w:rFonts w:ascii="Tahoma" w:hAnsi="Tahoma" w:cs="Tahoma"/>
          <w:b/>
          <w:bCs/>
        </w:rPr>
      </w:pPr>
      <w:r w:rsidRPr="005A1AE4">
        <w:rPr>
          <w:rFonts w:ascii="Tahoma" w:hAnsi="Tahoma" w:cs="Tahoma"/>
          <w:b/>
          <w:bCs/>
        </w:rPr>
        <w:t xml:space="preserve">PRESUPUESTO INICIAL    </w:t>
      </w:r>
    </w:p>
    <w:p w:rsidR="00C32B9A" w:rsidRPr="002510E7" w:rsidRDefault="00C32B9A" w:rsidP="00C32B9A">
      <w:pPr>
        <w:spacing w:before="0" w:after="0"/>
        <w:rPr>
          <w:rFonts w:ascii="Tahoma" w:hAnsi="Tahoma" w:cs="Tahoma"/>
          <w:b/>
          <w:bCs/>
          <w:sz w:val="16"/>
        </w:rPr>
      </w:pPr>
    </w:p>
    <w:p w:rsidR="00C32B9A" w:rsidRDefault="00C32B9A" w:rsidP="00C32B9A">
      <w:pPr>
        <w:spacing w:before="0" w:after="0"/>
        <w:jc w:val="both"/>
        <w:rPr>
          <w:rFonts w:ascii="Tahoma" w:hAnsi="Tahoma" w:cs="Tahoma"/>
          <w:color w:val="auto"/>
        </w:rPr>
      </w:pPr>
      <w:r w:rsidRPr="00C32B9A">
        <w:rPr>
          <w:rFonts w:ascii="Tahoma" w:hAnsi="Tahoma" w:cs="Tahoma"/>
          <w:color w:val="auto"/>
        </w:rPr>
        <w:t>El presupuesto de Gastos aprobado para la vigencia 2015 del Municipio  de Lérida Tolima, fue de $13.605</w:t>
      </w:r>
      <w:r w:rsidR="00881C9C">
        <w:rPr>
          <w:rFonts w:ascii="Tahoma" w:hAnsi="Tahoma" w:cs="Tahoma"/>
          <w:color w:val="auto"/>
        </w:rPr>
        <w:t xml:space="preserve"> millones</w:t>
      </w:r>
      <w:r w:rsidRPr="00C32B9A">
        <w:rPr>
          <w:rFonts w:ascii="Tahoma" w:hAnsi="Tahoma" w:cs="Tahoma"/>
          <w:color w:val="auto"/>
        </w:rPr>
        <w:t>, de los cuales $3.349</w:t>
      </w:r>
      <w:r w:rsidR="00881C9C">
        <w:rPr>
          <w:rFonts w:ascii="Tahoma" w:hAnsi="Tahoma" w:cs="Tahoma"/>
          <w:color w:val="auto"/>
        </w:rPr>
        <w:t xml:space="preserve"> millones</w:t>
      </w:r>
      <w:r w:rsidRPr="00C32B9A">
        <w:rPr>
          <w:rFonts w:ascii="Tahoma" w:hAnsi="Tahoma" w:cs="Tahoma"/>
          <w:color w:val="auto"/>
        </w:rPr>
        <w:t xml:space="preserve"> correspondieron a Gastos de funcionamiento, es decir un 24.62% y $10.256</w:t>
      </w:r>
      <w:r w:rsidR="00881C9C">
        <w:rPr>
          <w:rFonts w:ascii="Tahoma" w:hAnsi="Tahoma" w:cs="Tahoma"/>
          <w:color w:val="auto"/>
        </w:rPr>
        <w:t xml:space="preserve"> millones</w:t>
      </w:r>
      <w:r w:rsidRPr="00C32B9A">
        <w:rPr>
          <w:rFonts w:ascii="Tahoma" w:hAnsi="Tahoma" w:cs="Tahoma"/>
          <w:color w:val="auto"/>
        </w:rPr>
        <w:t xml:space="preserve"> a Gastos de Inversión, con un 75.38%.</w:t>
      </w:r>
      <w:r w:rsidR="00A566FE">
        <w:rPr>
          <w:rFonts w:ascii="Tahoma" w:hAnsi="Tahoma" w:cs="Tahoma"/>
          <w:color w:val="auto"/>
        </w:rPr>
        <w:t xml:space="preserve">  Ver gráfico</w:t>
      </w:r>
      <w:r w:rsidR="00CB6457">
        <w:rPr>
          <w:rFonts w:ascii="Tahoma" w:hAnsi="Tahoma" w:cs="Tahoma"/>
          <w:color w:val="auto"/>
        </w:rPr>
        <w:t>.</w:t>
      </w:r>
    </w:p>
    <w:p w:rsidR="00231ECA" w:rsidRPr="00C32B9A" w:rsidRDefault="00231ECA" w:rsidP="00C32B9A">
      <w:pPr>
        <w:spacing w:before="0" w:after="0"/>
        <w:jc w:val="both"/>
        <w:rPr>
          <w:rFonts w:ascii="Tahoma" w:hAnsi="Tahoma" w:cs="Tahoma"/>
          <w:color w:val="auto"/>
        </w:rPr>
      </w:pPr>
    </w:p>
    <w:p w:rsidR="00C32B9A" w:rsidRDefault="00C32B9A" w:rsidP="00C32B9A">
      <w:pPr>
        <w:spacing w:before="0" w:after="0"/>
        <w:jc w:val="both"/>
        <w:rPr>
          <w:rFonts w:ascii="Tahoma" w:hAnsi="Tahoma" w:cs="Tahoma"/>
          <w:color w:val="auto"/>
        </w:rPr>
      </w:pPr>
      <w:r>
        <w:rPr>
          <w:noProof/>
        </w:rPr>
        <w:drawing>
          <wp:anchor distT="0" distB="0" distL="114300" distR="114300" simplePos="0" relativeHeight="251706368" behindDoc="0" locked="0" layoutInCell="1" allowOverlap="1" wp14:anchorId="245388C5" wp14:editId="33B2BDF7">
            <wp:simplePos x="0" y="0"/>
            <wp:positionH relativeFrom="column">
              <wp:posOffset>986790</wp:posOffset>
            </wp:positionH>
            <wp:positionV relativeFrom="paragraph">
              <wp:posOffset>141605</wp:posOffset>
            </wp:positionV>
            <wp:extent cx="4216400" cy="1905000"/>
            <wp:effectExtent l="0" t="0" r="12700" b="19050"/>
            <wp:wrapSquare wrapText="bothSides"/>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r>
        <w:rPr>
          <w:rFonts w:ascii="Tahoma" w:hAnsi="Tahoma" w:cs="Tahoma"/>
          <w:color w:val="auto"/>
        </w:rPr>
        <w:t xml:space="preserve"> </w:t>
      </w:r>
    </w:p>
    <w:p w:rsidR="00C32B9A" w:rsidRDefault="00C32B9A" w:rsidP="00C32B9A">
      <w:pPr>
        <w:spacing w:before="0" w:after="0"/>
        <w:jc w:val="both"/>
        <w:rPr>
          <w:rFonts w:ascii="Tahoma" w:hAnsi="Tahoma" w:cs="Tahoma"/>
          <w:bCs/>
          <w:color w:val="auto"/>
          <w:szCs w:val="16"/>
        </w:rPr>
      </w:pPr>
    </w:p>
    <w:p w:rsidR="00C32B9A" w:rsidRDefault="00C32B9A" w:rsidP="00C32B9A">
      <w:pPr>
        <w:spacing w:before="0" w:after="0"/>
        <w:jc w:val="both"/>
        <w:rPr>
          <w:rFonts w:ascii="Tahoma" w:hAnsi="Tahoma" w:cs="Tahoma"/>
          <w:bCs/>
          <w:color w:val="auto"/>
          <w:szCs w:val="16"/>
        </w:rPr>
      </w:pPr>
    </w:p>
    <w:p w:rsidR="00C32B9A" w:rsidRDefault="00C32B9A" w:rsidP="00C32B9A">
      <w:pPr>
        <w:spacing w:before="0" w:after="0"/>
        <w:rPr>
          <w:rFonts w:ascii="Tahoma" w:hAnsi="Tahoma" w:cs="Tahoma"/>
          <w:color w:val="auto"/>
        </w:rPr>
      </w:pPr>
    </w:p>
    <w:p w:rsidR="00C32B9A" w:rsidRPr="00B761E4" w:rsidRDefault="00C32B9A" w:rsidP="00C32B9A">
      <w:pPr>
        <w:spacing w:before="0" w:after="0"/>
        <w:rPr>
          <w:rFonts w:ascii="Tahoma" w:hAnsi="Tahoma" w:cs="Tahoma"/>
          <w:b/>
          <w:szCs w:val="24"/>
        </w:rPr>
      </w:pPr>
      <w:r>
        <w:rPr>
          <w:rFonts w:ascii="Tahoma" w:hAnsi="Tahoma" w:cs="Tahoma"/>
          <w:color w:val="auto"/>
        </w:rPr>
        <w:br w:type="textWrapping" w:clear="all"/>
      </w:r>
    </w:p>
    <w:p w:rsidR="00231ECA" w:rsidRDefault="00231ECA" w:rsidP="00595DA7">
      <w:pPr>
        <w:spacing w:before="0" w:after="0"/>
        <w:jc w:val="both"/>
        <w:rPr>
          <w:rFonts w:ascii="Tahoma" w:hAnsi="Tahoma" w:cs="Tahoma"/>
          <w:b/>
          <w:color w:val="auto"/>
        </w:rPr>
      </w:pPr>
    </w:p>
    <w:p w:rsidR="00595DA7" w:rsidRDefault="00595DA7" w:rsidP="00595DA7">
      <w:pPr>
        <w:spacing w:before="0" w:after="0"/>
        <w:jc w:val="both"/>
        <w:rPr>
          <w:rFonts w:ascii="Tahoma" w:hAnsi="Tahoma" w:cs="Tahoma"/>
          <w:color w:val="auto"/>
        </w:rPr>
      </w:pPr>
      <w:r w:rsidRPr="00E255C8">
        <w:rPr>
          <w:rFonts w:ascii="Tahoma" w:hAnsi="Tahoma" w:cs="Tahoma"/>
          <w:b/>
          <w:color w:val="auto"/>
        </w:rPr>
        <w:lastRenderedPageBreak/>
        <w:t>Los Gastos de Funcionamiento</w:t>
      </w:r>
      <w:r>
        <w:rPr>
          <w:rFonts w:ascii="Tahoma" w:hAnsi="Tahoma" w:cs="Tahoma"/>
          <w:color w:val="auto"/>
        </w:rPr>
        <w:t xml:space="preserve"> se subdividieron en</w:t>
      </w:r>
      <w:r w:rsidR="005325B4">
        <w:rPr>
          <w:rFonts w:ascii="Tahoma" w:hAnsi="Tahoma" w:cs="Tahoma"/>
          <w:color w:val="auto"/>
        </w:rPr>
        <w:t xml:space="preserve"> Servicios Personales</w:t>
      </w:r>
      <w:r w:rsidR="00815CEE">
        <w:rPr>
          <w:rFonts w:ascii="Tahoma" w:hAnsi="Tahoma" w:cs="Tahoma"/>
          <w:color w:val="auto"/>
        </w:rPr>
        <w:t xml:space="preserve"> con $3.349</w:t>
      </w:r>
      <w:r w:rsidR="00881C9C">
        <w:rPr>
          <w:rFonts w:ascii="Tahoma" w:hAnsi="Tahoma" w:cs="Tahoma"/>
          <w:color w:val="auto"/>
        </w:rPr>
        <w:t xml:space="preserve"> millones</w:t>
      </w:r>
      <w:r w:rsidR="00815CEE">
        <w:rPr>
          <w:rFonts w:ascii="Tahoma" w:hAnsi="Tahoma" w:cs="Tahoma"/>
          <w:color w:val="auto"/>
        </w:rPr>
        <w:t xml:space="preserve">, es decir con un </w:t>
      </w:r>
      <w:r w:rsidR="00815CEE" w:rsidRPr="00881C9C">
        <w:rPr>
          <w:rFonts w:ascii="Tahoma" w:hAnsi="Tahoma" w:cs="Tahoma"/>
          <w:b/>
          <w:color w:val="auto"/>
        </w:rPr>
        <w:t>9.40%</w:t>
      </w:r>
      <w:r w:rsidR="005325B4" w:rsidRPr="00881C9C">
        <w:rPr>
          <w:rFonts w:ascii="Tahoma" w:hAnsi="Tahoma" w:cs="Tahoma"/>
          <w:b/>
          <w:color w:val="auto"/>
        </w:rPr>
        <w:t>,</w:t>
      </w:r>
      <w:r w:rsidR="005325B4">
        <w:rPr>
          <w:rFonts w:ascii="Tahoma" w:hAnsi="Tahoma" w:cs="Tahoma"/>
          <w:color w:val="auto"/>
        </w:rPr>
        <w:t xml:space="preserve"> Transferencias</w:t>
      </w:r>
      <w:r w:rsidR="00815CEE">
        <w:rPr>
          <w:rFonts w:ascii="Tahoma" w:hAnsi="Tahoma" w:cs="Tahoma"/>
          <w:color w:val="auto"/>
        </w:rPr>
        <w:t xml:space="preserve"> con $895</w:t>
      </w:r>
      <w:r w:rsidR="00881C9C">
        <w:rPr>
          <w:rFonts w:ascii="Tahoma" w:hAnsi="Tahoma" w:cs="Tahoma"/>
          <w:color w:val="auto"/>
        </w:rPr>
        <w:t xml:space="preserve"> millones</w:t>
      </w:r>
      <w:r w:rsidR="00815CEE">
        <w:rPr>
          <w:rFonts w:ascii="Tahoma" w:hAnsi="Tahoma" w:cs="Tahoma"/>
          <w:color w:val="auto"/>
        </w:rPr>
        <w:t xml:space="preserve">, y un </w:t>
      </w:r>
      <w:r w:rsidR="00815CEE" w:rsidRPr="00881C9C">
        <w:rPr>
          <w:rFonts w:ascii="Tahoma" w:hAnsi="Tahoma" w:cs="Tahoma"/>
          <w:b/>
          <w:color w:val="auto"/>
        </w:rPr>
        <w:t>6.58%</w:t>
      </w:r>
      <w:r w:rsidR="00815CEE">
        <w:rPr>
          <w:rFonts w:ascii="Tahoma" w:hAnsi="Tahoma" w:cs="Tahoma"/>
          <w:color w:val="auto"/>
        </w:rPr>
        <w:t xml:space="preserve"> </w:t>
      </w:r>
      <w:r w:rsidR="005325B4">
        <w:rPr>
          <w:rFonts w:ascii="Tahoma" w:hAnsi="Tahoma" w:cs="Tahoma"/>
          <w:color w:val="auto"/>
        </w:rPr>
        <w:t xml:space="preserve"> y Gastos Generales</w:t>
      </w:r>
      <w:r w:rsidR="00881C9C">
        <w:rPr>
          <w:rFonts w:ascii="Tahoma" w:hAnsi="Tahoma" w:cs="Tahoma"/>
          <w:color w:val="auto"/>
        </w:rPr>
        <w:t xml:space="preserve"> con $1.174 millones</w:t>
      </w:r>
      <w:r w:rsidR="00817D8E">
        <w:rPr>
          <w:rFonts w:ascii="Tahoma" w:hAnsi="Tahoma" w:cs="Tahoma"/>
          <w:color w:val="auto"/>
        </w:rPr>
        <w:t xml:space="preserve"> con un </w:t>
      </w:r>
      <w:r w:rsidR="00817D8E" w:rsidRPr="00881C9C">
        <w:rPr>
          <w:rFonts w:ascii="Tahoma" w:hAnsi="Tahoma" w:cs="Tahoma"/>
          <w:b/>
          <w:color w:val="auto"/>
        </w:rPr>
        <w:t>8.64%,</w:t>
      </w:r>
      <w:r w:rsidR="00817D8E">
        <w:rPr>
          <w:rFonts w:ascii="Tahoma" w:hAnsi="Tahoma" w:cs="Tahoma"/>
          <w:color w:val="auto"/>
        </w:rPr>
        <w:t xml:space="preserve"> para un total de 24.62%.</w:t>
      </w:r>
      <w:r>
        <w:rPr>
          <w:rFonts w:ascii="Tahoma" w:hAnsi="Tahoma" w:cs="Tahoma"/>
          <w:color w:val="auto"/>
        </w:rPr>
        <w:tab/>
      </w:r>
    </w:p>
    <w:p w:rsidR="00595DA7" w:rsidRDefault="00595DA7" w:rsidP="00595DA7">
      <w:pPr>
        <w:spacing w:before="0" w:after="0"/>
        <w:jc w:val="both"/>
        <w:rPr>
          <w:rFonts w:ascii="Tahoma" w:hAnsi="Tahoma" w:cs="Tahoma"/>
          <w:color w:val="auto"/>
        </w:rPr>
      </w:pPr>
    </w:p>
    <w:p w:rsidR="00595DA7" w:rsidRDefault="00595DA7" w:rsidP="00595DA7">
      <w:pPr>
        <w:spacing w:before="0" w:after="0"/>
        <w:rPr>
          <w:rFonts w:ascii="Tahoma" w:hAnsi="Tahoma" w:cs="Tahoma"/>
          <w:color w:val="auto"/>
        </w:rPr>
      </w:pPr>
    </w:p>
    <w:p w:rsidR="00595DA7" w:rsidRDefault="00EF1F54" w:rsidP="001D6862">
      <w:pPr>
        <w:spacing w:before="0" w:after="0"/>
        <w:rPr>
          <w:rFonts w:ascii="Tahoma" w:hAnsi="Tahoma" w:cs="Tahoma"/>
          <w:b/>
          <w:szCs w:val="24"/>
        </w:rPr>
      </w:pPr>
      <w:r>
        <w:rPr>
          <w:rFonts w:ascii="Tahoma" w:hAnsi="Tahoma" w:cs="Tahoma"/>
          <w:noProof/>
          <w:color w:val="auto"/>
        </w:rPr>
        <w:drawing>
          <wp:inline distT="0" distB="0" distL="0" distR="0" wp14:anchorId="3CB68A0F" wp14:editId="41DB2496">
            <wp:extent cx="5486400" cy="2857500"/>
            <wp:effectExtent l="0" t="0" r="19050" b="19050"/>
            <wp:docPr id="18" name="Gráfico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A0FB7" w:rsidRDefault="00AA0FB7" w:rsidP="00595DA7">
      <w:pPr>
        <w:spacing w:before="0" w:after="0"/>
        <w:jc w:val="both"/>
        <w:rPr>
          <w:rFonts w:ascii="Tahoma" w:hAnsi="Tahoma" w:cs="Tahoma"/>
          <w:color w:val="auto"/>
        </w:rPr>
      </w:pPr>
    </w:p>
    <w:p w:rsidR="00595DA7" w:rsidRDefault="00595DA7" w:rsidP="00595DA7">
      <w:pPr>
        <w:spacing w:before="0" w:after="0"/>
        <w:jc w:val="both"/>
        <w:rPr>
          <w:rFonts w:ascii="Tahoma" w:hAnsi="Tahoma" w:cs="Tahoma"/>
          <w:color w:val="auto"/>
        </w:rPr>
      </w:pPr>
      <w:r w:rsidRPr="00E255C8">
        <w:rPr>
          <w:rFonts w:ascii="Tahoma" w:hAnsi="Tahoma" w:cs="Tahoma"/>
          <w:b/>
          <w:color w:val="auto"/>
        </w:rPr>
        <w:t>Los Gastos de inversión</w:t>
      </w:r>
      <w:r w:rsidRPr="006309B9">
        <w:rPr>
          <w:rFonts w:ascii="Tahoma" w:hAnsi="Tahoma" w:cs="Tahoma"/>
          <w:color w:val="auto"/>
        </w:rPr>
        <w:t xml:space="preserve"> se </w:t>
      </w:r>
      <w:r w:rsidR="00AA0FB7" w:rsidRPr="006309B9">
        <w:rPr>
          <w:rFonts w:ascii="Tahoma" w:hAnsi="Tahoma" w:cs="Tahoma"/>
          <w:color w:val="auto"/>
        </w:rPr>
        <w:t>Clasificaron en</w:t>
      </w:r>
      <w:r>
        <w:rPr>
          <w:rFonts w:ascii="Tahoma" w:hAnsi="Tahoma" w:cs="Tahoma"/>
          <w:color w:val="auto"/>
        </w:rPr>
        <w:t>:</w:t>
      </w:r>
      <w:r w:rsidR="00AA0FB7">
        <w:rPr>
          <w:rFonts w:ascii="Tahoma" w:hAnsi="Tahoma" w:cs="Tahoma"/>
          <w:color w:val="auto"/>
        </w:rPr>
        <w:t xml:space="preserve"> Alimentación escolar 1%, Deporte 2%, Grupos Vulnerables 2%, Cultura 3%, Agua Potable 5%, Sector Educación 6%, Otros Sectores 12% y Fondo Local de Salud 69%.</w:t>
      </w:r>
      <w:r w:rsidR="006309B9">
        <w:rPr>
          <w:rFonts w:ascii="Tahoma" w:hAnsi="Tahoma" w:cs="Tahoma"/>
          <w:color w:val="auto"/>
        </w:rPr>
        <w:t xml:space="preserve">  Ver </w:t>
      </w:r>
      <w:r w:rsidR="00817D8E">
        <w:rPr>
          <w:rFonts w:ascii="Tahoma" w:hAnsi="Tahoma" w:cs="Tahoma"/>
          <w:color w:val="auto"/>
        </w:rPr>
        <w:t>gráfico</w:t>
      </w:r>
      <w:r w:rsidR="006309B9">
        <w:rPr>
          <w:rFonts w:ascii="Tahoma" w:hAnsi="Tahoma" w:cs="Tahoma"/>
          <w:color w:val="auto"/>
        </w:rPr>
        <w:t>…</w:t>
      </w:r>
    </w:p>
    <w:p w:rsidR="001E2CF6" w:rsidRDefault="00595DA7" w:rsidP="00817D8E">
      <w:pPr>
        <w:tabs>
          <w:tab w:val="left" w:pos="4989"/>
          <w:tab w:val="left" w:pos="5901"/>
        </w:tabs>
        <w:spacing w:before="0" w:after="0"/>
        <w:jc w:val="both"/>
        <w:rPr>
          <w:rFonts w:ascii="Tahoma" w:hAnsi="Tahoma" w:cs="Tahoma"/>
          <w:b/>
          <w:szCs w:val="24"/>
        </w:rPr>
      </w:pPr>
      <w:r>
        <w:rPr>
          <w:rFonts w:ascii="Tahoma" w:hAnsi="Tahoma" w:cs="Tahoma"/>
          <w:color w:val="auto"/>
        </w:rPr>
        <w:tab/>
      </w:r>
    </w:p>
    <w:p w:rsidR="005325B4" w:rsidRDefault="000F5879" w:rsidP="00815CEE">
      <w:pPr>
        <w:spacing w:before="0" w:after="0"/>
        <w:jc w:val="center"/>
        <w:rPr>
          <w:rFonts w:ascii="Tahoma" w:hAnsi="Tahoma" w:cs="Tahoma"/>
          <w:b/>
          <w:szCs w:val="24"/>
        </w:rPr>
      </w:pPr>
      <w:r>
        <w:rPr>
          <w:noProof/>
        </w:rPr>
        <w:lastRenderedPageBreak/>
        <w:drawing>
          <wp:inline distT="0" distB="0" distL="0" distR="0" wp14:anchorId="58A6CE42" wp14:editId="48CF04F7">
            <wp:extent cx="5074920" cy="2720340"/>
            <wp:effectExtent l="0" t="0" r="11430" b="22860"/>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815CEE" w:rsidRDefault="00815CEE" w:rsidP="001D6862">
      <w:pPr>
        <w:spacing w:before="0" w:after="0"/>
        <w:rPr>
          <w:rFonts w:ascii="Tahoma" w:hAnsi="Tahoma" w:cs="Tahoma"/>
          <w:b/>
          <w:szCs w:val="24"/>
        </w:rPr>
      </w:pPr>
    </w:p>
    <w:p w:rsidR="00AC4815" w:rsidRPr="00EB230A" w:rsidRDefault="00AC4815" w:rsidP="00AC4815">
      <w:pPr>
        <w:tabs>
          <w:tab w:val="left" w:pos="1000"/>
        </w:tabs>
        <w:spacing w:before="0" w:after="0"/>
        <w:jc w:val="both"/>
        <w:rPr>
          <w:rFonts w:ascii="Tahoma" w:hAnsi="Tahoma" w:cs="Tahoma"/>
          <w:color w:val="auto"/>
        </w:rPr>
      </w:pPr>
      <w:r w:rsidRPr="00AC4815">
        <w:rPr>
          <w:rFonts w:ascii="Tahoma" w:hAnsi="Tahoma" w:cs="Tahoma"/>
          <w:color w:val="auto"/>
        </w:rPr>
        <w:t>De la ejecución presupuestal,  se pudo observar que la mayor inversión se destinó al sector Salud, con un 52.26% equivalentes a $</w:t>
      </w:r>
      <w:r w:rsidR="00881C9C">
        <w:rPr>
          <w:rFonts w:ascii="Tahoma" w:eastAsia="Times New Roman" w:hAnsi="Tahoma" w:cs="Tahoma"/>
          <w:color w:val="auto"/>
        </w:rPr>
        <w:t>7.109 millones</w:t>
      </w:r>
      <w:r w:rsidRPr="00AC4815">
        <w:rPr>
          <w:rFonts w:ascii="Tahoma" w:eastAsia="Times New Roman" w:hAnsi="Tahoma" w:cs="Tahoma"/>
          <w:color w:val="auto"/>
        </w:rPr>
        <w:t>, seguidos de</w:t>
      </w:r>
      <w:r w:rsidR="00817D8E">
        <w:rPr>
          <w:rFonts w:ascii="Tahoma" w:eastAsia="Times New Roman" w:hAnsi="Tahoma" w:cs="Tahoma"/>
          <w:color w:val="auto"/>
        </w:rPr>
        <w:t xml:space="preserve"> Otros </w:t>
      </w:r>
      <w:r w:rsidR="00817D8E" w:rsidRPr="00AC4815">
        <w:rPr>
          <w:rFonts w:ascii="Tahoma" w:eastAsia="Times New Roman" w:hAnsi="Tahoma" w:cs="Tahoma"/>
          <w:color w:val="auto"/>
        </w:rPr>
        <w:t>sectores</w:t>
      </w:r>
      <w:r w:rsidR="00817D8E">
        <w:rPr>
          <w:rFonts w:ascii="Tahoma" w:eastAsia="Times New Roman" w:hAnsi="Tahoma" w:cs="Tahoma"/>
          <w:color w:val="auto"/>
        </w:rPr>
        <w:t xml:space="preserve">, los cuales </w:t>
      </w:r>
      <w:r w:rsidR="00817D8E" w:rsidRPr="00AC4815">
        <w:rPr>
          <w:rFonts w:ascii="Tahoma" w:eastAsia="Times New Roman" w:hAnsi="Tahoma" w:cs="Tahoma"/>
          <w:color w:val="auto"/>
        </w:rPr>
        <w:t xml:space="preserve"> presentaron</w:t>
      </w:r>
      <w:r w:rsidR="00817D8E">
        <w:rPr>
          <w:rFonts w:ascii="Tahoma" w:eastAsia="Times New Roman" w:hAnsi="Tahoma" w:cs="Tahoma"/>
          <w:color w:val="auto"/>
        </w:rPr>
        <w:t xml:space="preserve"> una</w:t>
      </w:r>
      <w:r w:rsidR="00817D8E" w:rsidRPr="00AC4815">
        <w:rPr>
          <w:rFonts w:ascii="Tahoma" w:eastAsia="Times New Roman" w:hAnsi="Tahoma" w:cs="Tahoma"/>
          <w:color w:val="auto"/>
        </w:rPr>
        <w:t xml:space="preserve"> inversión </w:t>
      </w:r>
      <w:r w:rsidR="00817D8E">
        <w:rPr>
          <w:rFonts w:ascii="Tahoma" w:eastAsia="Times New Roman" w:hAnsi="Tahoma" w:cs="Tahoma"/>
          <w:color w:val="auto"/>
        </w:rPr>
        <w:t>del 35%, equivalentes a  $4.811</w:t>
      </w:r>
      <w:r w:rsidR="00881C9C">
        <w:rPr>
          <w:rFonts w:ascii="Tahoma" w:eastAsia="Times New Roman" w:hAnsi="Tahoma" w:cs="Tahoma"/>
          <w:color w:val="auto"/>
        </w:rPr>
        <w:t xml:space="preserve"> millones</w:t>
      </w:r>
      <w:r w:rsidR="00817D8E">
        <w:rPr>
          <w:rFonts w:ascii="Tahoma" w:eastAsia="Times New Roman" w:hAnsi="Tahoma" w:cs="Tahoma"/>
          <w:color w:val="auto"/>
        </w:rPr>
        <w:t>; S</w:t>
      </w:r>
      <w:r w:rsidRPr="00AC4815">
        <w:rPr>
          <w:rFonts w:ascii="Tahoma" w:eastAsia="Times New Roman" w:hAnsi="Tahoma" w:cs="Tahoma"/>
          <w:color w:val="auto"/>
        </w:rPr>
        <w:t>ector Educación con un 4.44%, equivalentes a $604</w:t>
      </w:r>
      <w:r w:rsidR="00881C9C">
        <w:rPr>
          <w:rFonts w:ascii="Tahoma" w:eastAsia="Times New Roman" w:hAnsi="Tahoma" w:cs="Tahoma"/>
          <w:color w:val="auto"/>
        </w:rPr>
        <w:t xml:space="preserve"> millones,</w:t>
      </w:r>
      <w:r w:rsidRPr="00AC4815">
        <w:rPr>
          <w:rFonts w:ascii="Tahoma" w:eastAsia="Times New Roman" w:hAnsi="Tahoma" w:cs="Tahoma"/>
          <w:color w:val="auto"/>
        </w:rPr>
        <w:t xml:space="preserve"> Saneamiento Básico con un 3.70%, equivalentes a $503</w:t>
      </w:r>
      <w:r w:rsidR="00881C9C">
        <w:rPr>
          <w:rFonts w:ascii="Tahoma" w:eastAsia="Times New Roman" w:hAnsi="Tahoma" w:cs="Tahoma"/>
          <w:color w:val="auto"/>
        </w:rPr>
        <w:t xml:space="preserve"> millones</w:t>
      </w:r>
      <w:r w:rsidR="00817D8E">
        <w:rPr>
          <w:rFonts w:ascii="Tahoma" w:eastAsia="Times New Roman" w:hAnsi="Tahoma" w:cs="Tahoma"/>
          <w:color w:val="auto"/>
        </w:rPr>
        <w:t xml:space="preserve">, </w:t>
      </w:r>
      <w:r w:rsidRPr="00AC4815">
        <w:rPr>
          <w:rFonts w:ascii="Tahoma" w:eastAsia="Times New Roman" w:hAnsi="Tahoma" w:cs="Tahoma"/>
          <w:color w:val="auto"/>
        </w:rPr>
        <w:t xml:space="preserve">  </w:t>
      </w:r>
      <w:r w:rsidR="00817D8E">
        <w:rPr>
          <w:rFonts w:ascii="Tahoma" w:eastAsia="Times New Roman" w:hAnsi="Tahoma" w:cs="Tahoma"/>
          <w:color w:val="auto"/>
        </w:rPr>
        <w:t>S</w:t>
      </w:r>
      <w:r w:rsidRPr="00AC4815">
        <w:rPr>
          <w:rFonts w:ascii="Tahoma" w:eastAsia="Times New Roman" w:hAnsi="Tahoma" w:cs="Tahoma"/>
          <w:color w:val="auto"/>
        </w:rPr>
        <w:t>ector Arte y Cultura con un 2.40% equivalentes a $326</w:t>
      </w:r>
      <w:r w:rsidR="00881C9C">
        <w:rPr>
          <w:rFonts w:ascii="Tahoma" w:eastAsia="Times New Roman" w:hAnsi="Tahoma" w:cs="Tahoma"/>
          <w:color w:val="auto"/>
        </w:rPr>
        <w:t xml:space="preserve"> millones</w:t>
      </w:r>
      <w:r w:rsidRPr="00AC4815">
        <w:rPr>
          <w:rFonts w:ascii="Tahoma" w:eastAsia="Times New Roman" w:hAnsi="Tahoma" w:cs="Tahoma"/>
          <w:color w:val="auto"/>
        </w:rPr>
        <w:t xml:space="preserve">, </w:t>
      </w:r>
      <w:r w:rsidR="000F5879">
        <w:rPr>
          <w:rFonts w:ascii="Tahoma" w:eastAsia="Times New Roman" w:hAnsi="Tahoma" w:cs="Tahoma"/>
          <w:color w:val="auto"/>
        </w:rPr>
        <w:t xml:space="preserve">sector Deporte con un 2%, </w:t>
      </w:r>
      <w:r w:rsidR="00817D8E">
        <w:rPr>
          <w:rFonts w:ascii="Tahoma" w:eastAsia="Times New Roman" w:hAnsi="Tahoma" w:cs="Tahoma"/>
          <w:color w:val="auto"/>
        </w:rPr>
        <w:t xml:space="preserve">equivalentes a </w:t>
      </w:r>
      <w:r w:rsidR="00881C9C">
        <w:rPr>
          <w:rFonts w:ascii="Tahoma" w:eastAsia="Times New Roman" w:hAnsi="Tahoma" w:cs="Tahoma"/>
          <w:color w:val="auto"/>
        </w:rPr>
        <w:t>$</w:t>
      </w:r>
      <w:r w:rsidR="00817D8E">
        <w:rPr>
          <w:rFonts w:ascii="Tahoma" w:eastAsia="Times New Roman" w:hAnsi="Tahoma" w:cs="Tahoma"/>
          <w:color w:val="auto"/>
        </w:rPr>
        <w:t>197</w:t>
      </w:r>
      <w:r w:rsidR="00881C9C">
        <w:rPr>
          <w:rFonts w:ascii="Tahoma" w:eastAsia="Times New Roman" w:hAnsi="Tahoma" w:cs="Tahoma"/>
          <w:color w:val="auto"/>
        </w:rPr>
        <w:t xml:space="preserve"> millones</w:t>
      </w:r>
      <w:r w:rsidR="00817D8E">
        <w:rPr>
          <w:rFonts w:ascii="Tahoma" w:eastAsia="Times New Roman" w:hAnsi="Tahoma" w:cs="Tahoma"/>
          <w:color w:val="auto"/>
        </w:rPr>
        <w:t>.</w:t>
      </w:r>
      <w:r w:rsidRPr="00AC4815">
        <w:rPr>
          <w:rFonts w:ascii="Tahoma" w:eastAsia="Times New Roman" w:hAnsi="Tahoma" w:cs="Tahoma"/>
          <w:color w:val="auto"/>
        </w:rPr>
        <w:t xml:space="preserve"> </w:t>
      </w:r>
    </w:p>
    <w:p w:rsidR="00AC4815" w:rsidRDefault="000F5879" w:rsidP="001D6862">
      <w:pPr>
        <w:spacing w:before="0" w:after="0"/>
        <w:rPr>
          <w:rFonts w:ascii="Tahoma" w:hAnsi="Tahoma" w:cs="Tahoma"/>
          <w:b/>
          <w:szCs w:val="24"/>
        </w:rPr>
      </w:pPr>
      <w:r>
        <w:rPr>
          <w:rFonts w:ascii="Tahoma" w:hAnsi="Tahoma" w:cs="Tahoma"/>
          <w:b/>
          <w:szCs w:val="24"/>
        </w:rPr>
        <w:t xml:space="preserve"> </w:t>
      </w:r>
    </w:p>
    <w:p w:rsidR="00231ECA" w:rsidRDefault="00231ECA" w:rsidP="001D6862">
      <w:pPr>
        <w:spacing w:before="0" w:after="0"/>
        <w:rPr>
          <w:rFonts w:ascii="Tahoma" w:hAnsi="Tahoma" w:cs="Tahoma"/>
          <w:b/>
          <w:szCs w:val="24"/>
        </w:rPr>
      </w:pPr>
    </w:p>
    <w:p w:rsidR="00682367" w:rsidRPr="00B761E4" w:rsidRDefault="00B761E4" w:rsidP="001D6862">
      <w:pPr>
        <w:spacing w:before="0" w:after="0"/>
        <w:rPr>
          <w:rFonts w:ascii="Tahoma" w:hAnsi="Tahoma" w:cs="Tahoma"/>
          <w:b/>
          <w:szCs w:val="24"/>
        </w:rPr>
      </w:pPr>
      <w:r w:rsidRPr="00B761E4">
        <w:rPr>
          <w:rFonts w:ascii="Tahoma" w:hAnsi="Tahoma" w:cs="Tahoma"/>
          <w:b/>
          <w:szCs w:val="24"/>
        </w:rPr>
        <w:t>MODIFICACIONES AL PRESUPUESTO DE GASTOS</w:t>
      </w:r>
      <w:r w:rsidR="00577624">
        <w:rPr>
          <w:rFonts w:ascii="Tahoma" w:hAnsi="Tahoma" w:cs="Tahoma"/>
          <w:b/>
          <w:szCs w:val="24"/>
        </w:rPr>
        <w:t xml:space="preserve"> - ADICIONES</w:t>
      </w:r>
    </w:p>
    <w:p w:rsidR="00682367" w:rsidRDefault="00B761E4" w:rsidP="00B761E4">
      <w:pPr>
        <w:tabs>
          <w:tab w:val="left" w:pos="5696"/>
        </w:tabs>
        <w:spacing w:before="0" w:after="0"/>
        <w:jc w:val="both"/>
        <w:rPr>
          <w:rFonts w:ascii="Tahoma" w:hAnsi="Tahoma" w:cs="Tahoma"/>
          <w:szCs w:val="24"/>
        </w:rPr>
      </w:pPr>
      <w:r>
        <w:rPr>
          <w:rFonts w:ascii="Tahoma" w:hAnsi="Tahoma" w:cs="Tahoma"/>
          <w:szCs w:val="24"/>
        </w:rPr>
        <w:tab/>
      </w:r>
    </w:p>
    <w:p w:rsidR="00264A57" w:rsidRDefault="00B761E4" w:rsidP="00595DA7">
      <w:pPr>
        <w:tabs>
          <w:tab w:val="left" w:pos="5696"/>
        </w:tabs>
        <w:spacing w:before="0" w:after="0"/>
        <w:jc w:val="both"/>
        <w:rPr>
          <w:rFonts w:ascii="Tahoma" w:hAnsi="Tahoma" w:cs="Tahoma"/>
          <w:szCs w:val="24"/>
        </w:rPr>
      </w:pPr>
      <w:r>
        <w:rPr>
          <w:rFonts w:ascii="Tahoma" w:hAnsi="Tahoma" w:cs="Tahoma"/>
          <w:szCs w:val="24"/>
        </w:rPr>
        <w:t xml:space="preserve">El presupuesto de gastos del Municipio de Lérida de </w:t>
      </w:r>
      <w:r w:rsidR="00595DA7">
        <w:rPr>
          <w:rFonts w:ascii="Tahoma" w:hAnsi="Tahoma" w:cs="Tahoma"/>
          <w:szCs w:val="24"/>
        </w:rPr>
        <w:t>la vigencia 2015, presentó Adiciones pres</w:t>
      </w:r>
      <w:r w:rsidR="00264A57">
        <w:rPr>
          <w:rFonts w:ascii="Tahoma" w:hAnsi="Tahoma" w:cs="Tahoma"/>
          <w:szCs w:val="24"/>
        </w:rPr>
        <w:t>upuestales en la suma de $9.035 millones</w:t>
      </w:r>
      <w:r w:rsidR="00595DA7">
        <w:rPr>
          <w:rFonts w:ascii="Tahoma" w:hAnsi="Tahoma" w:cs="Tahoma"/>
          <w:szCs w:val="24"/>
        </w:rPr>
        <w:t xml:space="preserve"> y reducciones en la suma de $18</w:t>
      </w:r>
      <w:r w:rsidR="00264A57">
        <w:rPr>
          <w:rFonts w:ascii="Tahoma" w:hAnsi="Tahoma" w:cs="Tahoma"/>
          <w:szCs w:val="24"/>
        </w:rPr>
        <w:t xml:space="preserve"> millones</w:t>
      </w:r>
      <w:r w:rsidR="00E10692">
        <w:rPr>
          <w:rFonts w:ascii="Tahoma" w:hAnsi="Tahoma" w:cs="Tahoma"/>
          <w:szCs w:val="24"/>
        </w:rPr>
        <w:t xml:space="preserve"> y </w:t>
      </w:r>
      <w:r w:rsidR="00595DA7">
        <w:rPr>
          <w:rFonts w:ascii="Tahoma" w:hAnsi="Tahoma" w:cs="Tahoma"/>
          <w:szCs w:val="24"/>
        </w:rPr>
        <w:t>traslados presupuestales en la suma de $1.761</w:t>
      </w:r>
      <w:r w:rsidR="00264A57">
        <w:rPr>
          <w:rFonts w:ascii="Tahoma" w:hAnsi="Tahoma" w:cs="Tahoma"/>
          <w:szCs w:val="24"/>
        </w:rPr>
        <w:t xml:space="preserve"> millones</w:t>
      </w:r>
      <w:r w:rsidR="00595DA7">
        <w:rPr>
          <w:rFonts w:ascii="Tahoma" w:hAnsi="Tahoma" w:cs="Tahoma"/>
          <w:szCs w:val="24"/>
        </w:rPr>
        <w:t>, para un presupuesto d</w:t>
      </w:r>
      <w:r w:rsidR="00815CEE">
        <w:rPr>
          <w:rFonts w:ascii="Tahoma" w:hAnsi="Tahoma" w:cs="Tahoma"/>
          <w:szCs w:val="24"/>
        </w:rPr>
        <w:t>efinitivo de $22.640</w:t>
      </w:r>
      <w:r w:rsidR="00264A57">
        <w:rPr>
          <w:rFonts w:ascii="Tahoma" w:hAnsi="Tahoma" w:cs="Tahoma"/>
          <w:szCs w:val="24"/>
        </w:rPr>
        <w:t xml:space="preserve"> millones.</w:t>
      </w:r>
    </w:p>
    <w:p w:rsidR="00264A57" w:rsidRDefault="00264A57" w:rsidP="00595DA7">
      <w:pPr>
        <w:tabs>
          <w:tab w:val="left" w:pos="5696"/>
        </w:tabs>
        <w:spacing w:before="0" w:after="0"/>
        <w:jc w:val="both"/>
        <w:rPr>
          <w:rFonts w:ascii="Tahoma" w:hAnsi="Tahoma" w:cs="Tahoma"/>
          <w:szCs w:val="24"/>
        </w:rPr>
      </w:pPr>
    </w:p>
    <w:p w:rsidR="00E324E3" w:rsidRDefault="00EF51FE" w:rsidP="00595DA7">
      <w:pPr>
        <w:tabs>
          <w:tab w:val="left" w:pos="5696"/>
        </w:tabs>
        <w:spacing w:before="0" w:after="0"/>
        <w:jc w:val="both"/>
        <w:rPr>
          <w:rFonts w:ascii="Tahoma" w:hAnsi="Tahoma" w:cs="Tahoma"/>
          <w:szCs w:val="24"/>
        </w:rPr>
      </w:pPr>
      <w:r>
        <w:rPr>
          <w:rFonts w:ascii="Tahoma" w:hAnsi="Tahoma" w:cs="Tahoma"/>
          <w:szCs w:val="24"/>
        </w:rPr>
        <w:t xml:space="preserve"> </w:t>
      </w:r>
    </w:p>
    <w:p w:rsidR="00E324E3" w:rsidRPr="00E324E3" w:rsidRDefault="00E324E3" w:rsidP="00595DA7">
      <w:pPr>
        <w:tabs>
          <w:tab w:val="left" w:pos="5696"/>
        </w:tabs>
        <w:spacing w:before="0" w:after="0"/>
        <w:jc w:val="both"/>
        <w:rPr>
          <w:rFonts w:ascii="Tahoma" w:hAnsi="Tahoma" w:cs="Tahoma"/>
          <w:b/>
          <w:szCs w:val="24"/>
        </w:rPr>
      </w:pPr>
      <w:r w:rsidRPr="00E324E3">
        <w:rPr>
          <w:rFonts w:ascii="Tahoma" w:hAnsi="Tahoma" w:cs="Tahoma"/>
          <w:b/>
          <w:szCs w:val="24"/>
        </w:rPr>
        <w:t>MODIFICACIONES GASTOS DE FUNCIONAMIENTO</w:t>
      </w:r>
    </w:p>
    <w:p w:rsidR="00E324E3" w:rsidRDefault="00E324E3" w:rsidP="00595DA7">
      <w:pPr>
        <w:tabs>
          <w:tab w:val="left" w:pos="5696"/>
        </w:tabs>
        <w:spacing w:before="0" w:after="0"/>
        <w:jc w:val="both"/>
        <w:rPr>
          <w:rFonts w:ascii="Tahoma" w:hAnsi="Tahoma" w:cs="Tahoma"/>
          <w:szCs w:val="24"/>
        </w:rPr>
      </w:pPr>
    </w:p>
    <w:p w:rsidR="00E324E3" w:rsidRDefault="00E324E3" w:rsidP="00E324E3">
      <w:pPr>
        <w:tabs>
          <w:tab w:val="left" w:pos="5696"/>
        </w:tabs>
        <w:spacing w:before="0" w:after="0"/>
        <w:jc w:val="both"/>
        <w:rPr>
          <w:rFonts w:ascii="Tahoma" w:hAnsi="Tahoma" w:cs="Tahoma"/>
          <w:szCs w:val="24"/>
        </w:rPr>
      </w:pPr>
      <w:r>
        <w:rPr>
          <w:rFonts w:ascii="Tahoma" w:hAnsi="Tahoma" w:cs="Tahoma"/>
          <w:szCs w:val="24"/>
        </w:rPr>
        <w:t>Los Gastos de funcionamiento se incrementaron en un 7.89%, es decir la suma de $264</w:t>
      </w:r>
      <w:r w:rsidR="00264A57">
        <w:rPr>
          <w:rFonts w:ascii="Tahoma" w:hAnsi="Tahoma" w:cs="Tahoma"/>
          <w:szCs w:val="24"/>
        </w:rPr>
        <w:t xml:space="preserve"> millones</w:t>
      </w:r>
      <w:r>
        <w:rPr>
          <w:rFonts w:ascii="Tahoma" w:hAnsi="Tahoma" w:cs="Tahoma"/>
          <w:szCs w:val="24"/>
        </w:rPr>
        <w:t xml:space="preserve"> y los gastos de Inversión en un 85.52%, equivalentes a $8.770</w:t>
      </w:r>
      <w:r w:rsidR="00264A57">
        <w:rPr>
          <w:rFonts w:ascii="Tahoma" w:hAnsi="Tahoma" w:cs="Tahoma"/>
          <w:szCs w:val="24"/>
        </w:rPr>
        <w:t xml:space="preserve"> millones</w:t>
      </w:r>
      <w:r>
        <w:rPr>
          <w:rFonts w:ascii="Tahoma" w:hAnsi="Tahoma" w:cs="Tahoma"/>
          <w:szCs w:val="24"/>
        </w:rPr>
        <w:t xml:space="preserve"> </w:t>
      </w:r>
      <w:r w:rsidR="00264A57">
        <w:rPr>
          <w:rFonts w:ascii="Tahoma" w:hAnsi="Tahoma" w:cs="Tahoma"/>
          <w:szCs w:val="24"/>
        </w:rPr>
        <w:t>con</w:t>
      </w:r>
      <w:r>
        <w:rPr>
          <w:rFonts w:ascii="Tahoma" w:hAnsi="Tahoma" w:cs="Tahoma"/>
          <w:szCs w:val="24"/>
        </w:rPr>
        <w:t xml:space="preserve"> relación al presupuesto inicial.</w:t>
      </w:r>
    </w:p>
    <w:p w:rsidR="00E324E3" w:rsidRDefault="00E324E3" w:rsidP="00595DA7">
      <w:pPr>
        <w:tabs>
          <w:tab w:val="left" w:pos="5696"/>
        </w:tabs>
        <w:spacing w:before="0" w:after="0"/>
        <w:jc w:val="both"/>
        <w:rPr>
          <w:rFonts w:ascii="Tahoma" w:hAnsi="Tahoma" w:cs="Tahoma"/>
          <w:szCs w:val="24"/>
        </w:rPr>
      </w:pPr>
    </w:p>
    <w:p w:rsidR="00E324E3" w:rsidRDefault="00E324E3" w:rsidP="00595DA7">
      <w:pPr>
        <w:tabs>
          <w:tab w:val="left" w:pos="5696"/>
        </w:tabs>
        <w:spacing w:before="0" w:after="0"/>
        <w:jc w:val="both"/>
        <w:rPr>
          <w:rFonts w:ascii="Tahoma" w:hAnsi="Tahoma" w:cs="Tahoma"/>
          <w:szCs w:val="24"/>
        </w:rPr>
      </w:pPr>
    </w:p>
    <w:p w:rsidR="008C2EA2" w:rsidRDefault="008C2EA2" w:rsidP="00595DA7">
      <w:pPr>
        <w:tabs>
          <w:tab w:val="left" w:pos="5696"/>
        </w:tabs>
        <w:spacing w:before="0" w:after="0"/>
        <w:jc w:val="both"/>
        <w:rPr>
          <w:rFonts w:ascii="Tahoma" w:hAnsi="Tahoma" w:cs="Tahoma"/>
          <w:szCs w:val="24"/>
        </w:rPr>
      </w:pPr>
      <w:r>
        <w:rPr>
          <w:noProof/>
        </w:rPr>
        <w:drawing>
          <wp:inline distT="0" distB="0" distL="0" distR="0" wp14:anchorId="7935A6FD" wp14:editId="06B8BF53">
            <wp:extent cx="5924550" cy="723644"/>
            <wp:effectExtent l="0" t="0" r="0" b="63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977303" cy="730087"/>
                    </a:xfrm>
                    <a:prstGeom prst="rect">
                      <a:avLst/>
                    </a:prstGeom>
                  </pic:spPr>
                </pic:pic>
              </a:graphicData>
            </a:graphic>
          </wp:inline>
        </w:drawing>
      </w:r>
    </w:p>
    <w:p w:rsidR="00EF51FE" w:rsidRDefault="00EF51FE" w:rsidP="00595DA7">
      <w:pPr>
        <w:tabs>
          <w:tab w:val="left" w:pos="5696"/>
        </w:tabs>
        <w:spacing w:before="0" w:after="0"/>
        <w:jc w:val="both"/>
        <w:rPr>
          <w:rFonts w:ascii="Tahoma" w:hAnsi="Tahoma" w:cs="Tahoma"/>
          <w:szCs w:val="24"/>
        </w:rPr>
      </w:pPr>
    </w:p>
    <w:p w:rsidR="008C2EA2" w:rsidRDefault="008C2EA2" w:rsidP="00595DA7">
      <w:pPr>
        <w:tabs>
          <w:tab w:val="left" w:pos="5696"/>
        </w:tabs>
        <w:spacing w:before="0" w:after="0"/>
        <w:jc w:val="both"/>
        <w:rPr>
          <w:rFonts w:ascii="Tahoma" w:hAnsi="Tahoma" w:cs="Tahoma"/>
          <w:szCs w:val="24"/>
        </w:rPr>
      </w:pPr>
    </w:p>
    <w:p w:rsidR="008C2EA2" w:rsidRDefault="008C2EA2" w:rsidP="00264A57">
      <w:pPr>
        <w:tabs>
          <w:tab w:val="left" w:pos="5696"/>
        </w:tabs>
        <w:spacing w:before="0" w:after="0"/>
        <w:jc w:val="center"/>
        <w:rPr>
          <w:rFonts w:ascii="Tahoma" w:hAnsi="Tahoma" w:cs="Tahoma"/>
          <w:szCs w:val="24"/>
        </w:rPr>
      </w:pPr>
      <w:r>
        <w:rPr>
          <w:rFonts w:ascii="Tahoma" w:hAnsi="Tahoma" w:cs="Tahoma"/>
          <w:noProof/>
          <w:szCs w:val="24"/>
        </w:rPr>
        <w:drawing>
          <wp:inline distT="0" distB="0" distL="0" distR="0">
            <wp:extent cx="5486400" cy="3200400"/>
            <wp:effectExtent l="0" t="0" r="19050" b="19050"/>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982549" w:rsidRDefault="00982549" w:rsidP="00595DA7">
      <w:pPr>
        <w:tabs>
          <w:tab w:val="left" w:pos="5696"/>
        </w:tabs>
        <w:spacing w:before="0" w:after="0"/>
        <w:jc w:val="both"/>
        <w:rPr>
          <w:rFonts w:ascii="Tahoma" w:hAnsi="Tahoma" w:cs="Tahoma"/>
          <w:szCs w:val="24"/>
        </w:rPr>
      </w:pPr>
    </w:p>
    <w:p w:rsidR="00231ECA" w:rsidRDefault="00231ECA" w:rsidP="001D6862">
      <w:pPr>
        <w:spacing w:before="0" w:after="0"/>
        <w:jc w:val="both"/>
        <w:rPr>
          <w:rFonts w:ascii="Tahoma" w:hAnsi="Tahoma" w:cs="Tahoma"/>
          <w:b/>
          <w:color w:val="auto"/>
          <w:szCs w:val="16"/>
        </w:rPr>
      </w:pPr>
    </w:p>
    <w:p w:rsidR="00577624" w:rsidRPr="00577624" w:rsidRDefault="00577624" w:rsidP="001D6862">
      <w:pPr>
        <w:spacing w:before="0" w:after="0"/>
        <w:jc w:val="both"/>
        <w:rPr>
          <w:rFonts w:ascii="Tahoma" w:hAnsi="Tahoma" w:cs="Tahoma"/>
          <w:b/>
          <w:color w:val="auto"/>
          <w:szCs w:val="16"/>
        </w:rPr>
      </w:pPr>
      <w:r w:rsidRPr="00577624">
        <w:rPr>
          <w:rFonts w:ascii="Tahoma" w:hAnsi="Tahoma" w:cs="Tahoma"/>
          <w:b/>
          <w:color w:val="auto"/>
          <w:szCs w:val="16"/>
        </w:rPr>
        <w:t>MODIFICACIONES GASTOS DE INVERSION</w:t>
      </w:r>
    </w:p>
    <w:p w:rsidR="00577624" w:rsidRDefault="00577624" w:rsidP="001D6862">
      <w:pPr>
        <w:spacing w:before="0" w:after="0"/>
        <w:jc w:val="both"/>
        <w:rPr>
          <w:rFonts w:ascii="Tahoma" w:hAnsi="Tahoma" w:cs="Tahoma"/>
          <w:color w:val="auto"/>
          <w:szCs w:val="16"/>
        </w:rPr>
      </w:pPr>
    </w:p>
    <w:p w:rsidR="00AA5D20" w:rsidRDefault="00865411" w:rsidP="001D6862">
      <w:pPr>
        <w:spacing w:before="0" w:after="0"/>
        <w:jc w:val="both"/>
        <w:rPr>
          <w:rFonts w:ascii="Tahoma" w:hAnsi="Tahoma" w:cs="Tahoma"/>
          <w:color w:val="auto"/>
          <w:szCs w:val="16"/>
        </w:rPr>
      </w:pPr>
      <w:r>
        <w:rPr>
          <w:rFonts w:ascii="Tahoma" w:hAnsi="Tahoma" w:cs="Tahoma"/>
          <w:color w:val="auto"/>
          <w:szCs w:val="16"/>
        </w:rPr>
        <w:t>Los Gastos de inversi</w:t>
      </w:r>
      <w:r w:rsidR="003B6AFE">
        <w:rPr>
          <w:rFonts w:ascii="Tahoma" w:hAnsi="Tahoma" w:cs="Tahoma"/>
          <w:color w:val="auto"/>
          <w:szCs w:val="16"/>
        </w:rPr>
        <w:t xml:space="preserve">ón </w:t>
      </w:r>
      <w:r>
        <w:rPr>
          <w:rFonts w:ascii="Tahoma" w:hAnsi="Tahoma" w:cs="Tahoma"/>
          <w:color w:val="auto"/>
          <w:szCs w:val="16"/>
        </w:rPr>
        <w:t>que</w:t>
      </w:r>
      <w:r w:rsidR="00BA3E16">
        <w:rPr>
          <w:rFonts w:ascii="Tahoma" w:hAnsi="Tahoma" w:cs="Tahoma"/>
          <w:color w:val="auto"/>
          <w:szCs w:val="16"/>
        </w:rPr>
        <w:t xml:space="preserve"> presentaron</w:t>
      </w:r>
      <w:r>
        <w:rPr>
          <w:rFonts w:ascii="Tahoma" w:hAnsi="Tahoma" w:cs="Tahoma"/>
          <w:color w:val="auto"/>
          <w:szCs w:val="16"/>
        </w:rPr>
        <w:t xml:space="preserve"> </w:t>
      </w:r>
      <w:r w:rsidR="00BA3E16">
        <w:rPr>
          <w:rFonts w:ascii="Tahoma" w:hAnsi="Tahoma" w:cs="Tahoma"/>
          <w:color w:val="auto"/>
          <w:szCs w:val="16"/>
        </w:rPr>
        <w:t>más</w:t>
      </w:r>
      <w:r w:rsidR="003B6AFE">
        <w:rPr>
          <w:rFonts w:ascii="Tahoma" w:hAnsi="Tahoma" w:cs="Tahoma"/>
          <w:color w:val="auto"/>
          <w:szCs w:val="16"/>
        </w:rPr>
        <w:t xml:space="preserve"> </w:t>
      </w:r>
      <w:r w:rsidR="00BA3E16">
        <w:rPr>
          <w:rFonts w:ascii="Tahoma" w:hAnsi="Tahoma" w:cs="Tahoma"/>
          <w:color w:val="auto"/>
          <w:szCs w:val="16"/>
        </w:rPr>
        <w:t>modificaciones</w:t>
      </w:r>
      <w:r w:rsidR="00770887">
        <w:rPr>
          <w:rFonts w:ascii="Tahoma" w:hAnsi="Tahoma" w:cs="Tahoma"/>
          <w:color w:val="auto"/>
          <w:szCs w:val="16"/>
        </w:rPr>
        <w:t xml:space="preserve"> (Adiciones)</w:t>
      </w:r>
      <w:r w:rsidR="00BA3E16">
        <w:rPr>
          <w:rFonts w:ascii="Tahoma" w:hAnsi="Tahoma" w:cs="Tahoma"/>
          <w:color w:val="auto"/>
          <w:szCs w:val="16"/>
        </w:rPr>
        <w:t xml:space="preserve"> </w:t>
      </w:r>
      <w:r w:rsidR="003B6AFE">
        <w:rPr>
          <w:rFonts w:ascii="Tahoma" w:hAnsi="Tahoma" w:cs="Tahoma"/>
          <w:color w:val="auto"/>
          <w:szCs w:val="16"/>
        </w:rPr>
        <w:t>en la vigencia 2015, fueron</w:t>
      </w:r>
      <w:r>
        <w:rPr>
          <w:rFonts w:ascii="Tahoma" w:hAnsi="Tahoma" w:cs="Tahoma"/>
          <w:color w:val="auto"/>
          <w:szCs w:val="16"/>
        </w:rPr>
        <w:t>: Sector Educación</w:t>
      </w:r>
      <w:r w:rsidR="00BA3E16">
        <w:rPr>
          <w:rFonts w:ascii="Tahoma" w:hAnsi="Tahoma" w:cs="Tahoma"/>
          <w:color w:val="auto"/>
          <w:szCs w:val="16"/>
        </w:rPr>
        <w:t xml:space="preserve"> </w:t>
      </w:r>
      <w:r w:rsidR="003B6AFE">
        <w:rPr>
          <w:rFonts w:ascii="Tahoma" w:hAnsi="Tahoma" w:cs="Tahoma"/>
          <w:color w:val="auto"/>
          <w:szCs w:val="16"/>
        </w:rPr>
        <w:t>$310</w:t>
      </w:r>
      <w:r w:rsidR="00264A57">
        <w:rPr>
          <w:rFonts w:ascii="Tahoma" w:hAnsi="Tahoma" w:cs="Tahoma"/>
          <w:color w:val="auto"/>
          <w:szCs w:val="16"/>
        </w:rPr>
        <w:t xml:space="preserve"> millones</w:t>
      </w:r>
      <w:r w:rsidR="003B6AFE">
        <w:rPr>
          <w:rFonts w:ascii="Tahoma" w:hAnsi="Tahoma" w:cs="Tahoma"/>
          <w:color w:val="auto"/>
          <w:szCs w:val="16"/>
        </w:rPr>
        <w:t xml:space="preserve">, </w:t>
      </w:r>
      <w:r>
        <w:rPr>
          <w:rFonts w:ascii="Tahoma" w:hAnsi="Tahoma" w:cs="Tahoma"/>
          <w:color w:val="auto"/>
          <w:szCs w:val="16"/>
        </w:rPr>
        <w:t>Agua potable y Saneamiento básico</w:t>
      </w:r>
      <w:r w:rsidR="00BA3E16">
        <w:rPr>
          <w:rFonts w:ascii="Tahoma" w:hAnsi="Tahoma" w:cs="Tahoma"/>
          <w:color w:val="auto"/>
          <w:szCs w:val="16"/>
        </w:rPr>
        <w:t xml:space="preserve"> $595</w:t>
      </w:r>
      <w:r w:rsidR="00264A57">
        <w:rPr>
          <w:rFonts w:ascii="Tahoma" w:hAnsi="Tahoma" w:cs="Tahoma"/>
          <w:color w:val="auto"/>
          <w:szCs w:val="16"/>
        </w:rPr>
        <w:t xml:space="preserve"> millones</w:t>
      </w:r>
      <w:r>
        <w:rPr>
          <w:rFonts w:ascii="Tahoma" w:hAnsi="Tahoma" w:cs="Tahoma"/>
          <w:color w:val="auto"/>
          <w:szCs w:val="16"/>
        </w:rPr>
        <w:t>,</w:t>
      </w:r>
      <w:r w:rsidR="00770887">
        <w:rPr>
          <w:rFonts w:ascii="Tahoma" w:hAnsi="Tahoma" w:cs="Tahoma"/>
          <w:color w:val="auto"/>
          <w:szCs w:val="16"/>
        </w:rPr>
        <w:t xml:space="preserve"> Deporte </w:t>
      </w:r>
      <w:r w:rsidR="003B6AFE">
        <w:rPr>
          <w:rFonts w:ascii="Tahoma" w:hAnsi="Tahoma" w:cs="Tahoma"/>
          <w:color w:val="auto"/>
          <w:szCs w:val="16"/>
        </w:rPr>
        <w:t>$</w:t>
      </w:r>
      <w:r w:rsidR="00770887">
        <w:rPr>
          <w:rFonts w:ascii="Tahoma" w:hAnsi="Tahoma" w:cs="Tahoma"/>
          <w:color w:val="auto"/>
          <w:szCs w:val="16"/>
        </w:rPr>
        <w:t>217</w:t>
      </w:r>
      <w:r w:rsidR="00264A57">
        <w:rPr>
          <w:rFonts w:ascii="Tahoma" w:hAnsi="Tahoma" w:cs="Tahoma"/>
          <w:color w:val="auto"/>
          <w:szCs w:val="16"/>
        </w:rPr>
        <w:t xml:space="preserve"> millones</w:t>
      </w:r>
      <w:r w:rsidR="00770887">
        <w:rPr>
          <w:rFonts w:ascii="Tahoma" w:hAnsi="Tahoma" w:cs="Tahoma"/>
          <w:color w:val="auto"/>
          <w:szCs w:val="16"/>
        </w:rPr>
        <w:t>, Cultura $163</w:t>
      </w:r>
      <w:r w:rsidR="00264A57">
        <w:rPr>
          <w:rFonts w:ascii="Tahoma" w:hAnsi="Tahoma" w:cs="Tahoma"/>
          <w:color w:val="auto"/>
          <w:szCs w:val="16"/>
        </w:rPr>
        <w:t xml:space="preserve"> millones,</w:t>
      </w:r>
      <w:r w:rsidR="00770887">
        <w:rPr>
          <w:rFonts w:ascii="Tahoma" w:hAnsi="Tahoma" w:cs="Tahoma"/>
          <w:color w:val="auto"/>
          <w:szCs w:val="16"/>
        </w:rPr>
        <w:t xml:space="preserve"> otros sectores $3.615</w:t>
      </w:r>
      <w:r w:rsidR="00264A57">
        <w:rPr>
          <w:rFonts w:ascii="Tahoma" w:hAnsi="Tahoma" w:cs="Tahoma"/>
          <w:color w:val="auto"/>
          <w:szCs w:val="16"/>
        </w:rPr>
        <w:t xml:space="preserve"> millones</w:t>
      </w:r>
      <w:r w:rsidR="005F11EA">
        <w:rPr>
          <w:rFonts w:ascii="Tahoma" w:hAnsi="Tahoma" w:cs="Tahoma"/>
          <w:color w:val="auto"/>
          <w:szCs w:val="16"/>
        </w:rPr>
        <w:t xml:space="preserve"> entre ellos: (</w:t>
      </w:r>
      <w:r w:rsidR="00264A57">
        <w:rPr>
          <w:rFonts w:ascii="Tahoma" w:hAnsi="Tahoma" w:cs="Tahoma"/>
          <w:color w:val="auto"/>
          <w:szCs w:val="16"/>
        </w:rPr>
        <w:t>Sector Transporte $199 millones,</w:t>
      </w:r>
      <w:r w:rsidR="00770887">
        <w:rPr>
          <w:rFonts w:ascii="Tahoma" w:hAnsi="Tahoma" w:cs="Tahoma"/>
          <w:color w:val="auto"/>
          <w:szCs w:val="16"/>
        </w:rPr>
        <w:t xml:space="preserve"> Grupos vulnerables $256</w:t>
      </w:r>
      <w:r w:rsidR="00264A57">
        <w:rPr>
          <w:rFonts w:ascii="Tahoma" w:hAnsi="Tahoma" w:cs="Tahoma"/>
          <w:color w:val="auto"/>
          <w:szCs w:val="16"/>
        </w:rPr>
        <w:t xml:space="preserve"> millones,</w:t>
      </w:r>
      <w:r w:rsidR="00770887">
        <w:rPr>
          <w:rFonts w:ascii="Tahoma" w:hAnsi="Tahoma" w:cs="Tahoma"/>
          <w:color w:val="auto"/>
          <w:szCs w:val="16"/>
        </w:rPr>
        <w:t xml:space="preserve"> </w:t>
      </w:r>
      <w:r>
        <w:rPr>
          <w:rFonts w:ascii="Tahoma" w:hAnsi="Tahoma" w:cs="Tahoma"/>
          <w:color w:val="auto"/>
          <w:szCs w:val="16"/>
        </w:rPr>
        <w:t xml:space="preserve"> </w:t>
      </w:r>
      <w:r w:rsidR="00770887">
        <w:rPr>
          <w:rFonts w:ascii="Tahoma" w:hAnsi="Tahoma" w:cs="Tahoma"/>
          <w:color w:val="auto"/>
          <w:szCs w:val="16"/>
        </w:rPr>
        <w:t>Sector Gobierno $38, Sector Justicia $739</w:t>
      </w:r>
      <w:r w:rsidR="00264A57">
        <w:rPr>
          <w:rFonts w:ascii="Tahoma" w:hAnsi="Tahoma" w:cs="Tahoma"/>
          <w:color w:val="auto"/>
          <w:szCs w:val="16"/>
        </w:rPr>
        <w:t xml:space="preserve"> millones,</w:t>
      </w:r>
      <w:r w:rsidR="005F11EA">
        <w:rPr>
          <w:rFonts w:ascii="Tahoma" w:hAnsi="Tahoma" w:cs="Tahoma"/>
          <w:color w:val="auto"/>
          <w:szCs w:val="16"/>
        </w:rPr>
        <w:t xml:space="preserve"> Fondos Especiales</w:t>
      </w:r>
      <w:r w:rsidR="00F06B21">
        <w:rPr>
          <w:rFonts w:ascii="Tahoma" w:hAnsi="Tahoma" w:cs="Tahoma"/>
          <w:color w:val="auto"/>
          <w:szCs w:val="16"/>
        </w:rPr>
        <w:t xml:space="preserve"> (salud)</w:t>
      </w:r>
      <w:r w:rsidR="005F11EA">
        <w:rPr>
          <w:rFonts w:ascii="Tahoma" w:hAnsi="Tahoma" w:cs="Tahoma"/>
          <w:color w:val="auto"/>
          <w:szCs w:val="16"/>
        </w:rPr>
        <w:t xml:space="preserve"> $775</w:t>
      </w:r>
      <w:r w:rsidR="00264A57">
        <w:rPr>
          <w:rFonts w:ascii="Tahoma" w:hAnsi="Tahoma" w:cs="Tahoma"/>
          <w:color w:val="auto"/>
          <w:szCs w:val="16"/>
        </w:rPr>
        <w:t xml:space="preserve"> millones</w:t>
      </w:r>
      <w:r w:rsidR="005F11EA">
        <w:rPr>
          <w:rFonts w:ascii="Tahoma" w:hAnsi="Tahoma" w:cs="Tahoma"/>
          <w:color w:val="auto"/>
          <w:szCs w:val="16"/>
        </w:rPr>
        <w:t xml:space="preserve"> </w:t>
      </w:r>
      <w:r w:rsidR="001863EB">
        <w:rPr>
          <w:rFonts w:ascii="Tahoma" w:hAnsi="Tahoma" w:cs="Tahoma"/>
          <w:color w:val="auto"/>
          <w:szCs w:val="16"/>
        </w:rPr>
        <w:t>y Sistema General de Regalías $1.838</w:t>
      </w:r>
      <w:r w:rsidR="00264A57">
        <w:rPr>
          <w:rFonts w:ascii="Tahoma" w:hAnsi="Tahoma" w:cs="Tahoma"/>
          <w:color w:val="auto"/>
          <w:szCs w:val="16"/>
        </w:rPr>
        <w:t xml:space="preserve"> millones.</w:t>
      </w:r>
      <w:r>
        <w:rPr>
          <w:rFonts w:ascii="Tahoma" w:hAnsi="Tahoma" w:cs="Tahoma"/>
          <w:color w:val="auto"/>
          <w:szCs w:val="16"/>
        </w:rPr>
        <w:t xml:space="preserve"> </w:t>
      </w:r>
    </w:p>
    <w:p w:rsidR="00865411" w:rsidRDefault="00865411" w:rsidP="001D6862">
      <w:pPr>
        <w:spacing w:before="0" w:after="0"/>
        <w:jc w:val="both"/>
        <w:rPr>
          <w:rFonts w:ascii="Tahoma" w:hAnsi="Tahoma" w:cs="Tahoma"/>
          <w:color w:val="auto"/>
          <w:szCs w:val="16"/>
        </w:rPr>
      </w:pPr>
    </w:p>
    <w:p w:rsidR="000367BB" w:rsidRDefault="0003642F" w:rsidP="0003642F">
      <w:pPr>
        <w:spacing w:before="0" w:after="0"/>
        <w:jc w:val="center"/>
        <w:rPr>
          <w:rFonts w:ascii="Tahoma" w:hAnsi="Tahoma" w:cs="Tahoma"/>
          <w:color w:val="auto"/>
          <w:szCs w:val="16"/>
        </w:rPr>
      </w:pPr>
      <w:r>
        <w:rPr>
          <w:noProof/>
        </w:rPr>
        <w:lastRenderedPageBreak/>
        <w:drawing>
          <wp:inline distT="0" distB="0" distL="0" distR="0" wp14:anchorId="493FBEBF" wp14:editId="783785AB">
            <wp:extent cx="5067300" cy="3648075"/>
            <wp:effectExtent l="0" t="0" r="19050" b="9525"/>
            <wp:docPr id="16" name="Gráfico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0367BB" w:rsidRDefault="000367BB" w:rsidP="00A44621">
      <w:pPr>
        <w:spacing w:before="0" w:after="0"/>
        <w:jc w:val="center"/>
        <w:rPr>
          <w:rFonts w:ascii="Tahoma" w:hAnsi="Tahoma" w:cs="Tahoma"/>
          <w:color w:val="auto"/>
          <w:szCs w:val="16"/>
        </w:rPr>
      </w:pPr>
    </w:p>
    <w:p w:rsidR="00524E1D" w:rsidRDefault="00E111B6" w:rsidP="001D6862">
      <w:pPr>
        <w:spacing w:before="0" w:after="0"/>
        <w:rPr>
          <w:rFonts w:ascii="Tahoma" w:hAnsi="Tahoma" w:cs="Tahoma"/>
          <w:b/>
          <w:szCs w:val="24"/>
        </w:rPr>
      </w:pPr>
      <w:r>
        <w:rPr>
          <w:rFonts w:ascii="Tahoma" w:hAnsi="Tahoma" w:cs="Tahoma"/>
          <w:b/>
          <w:szCs w:val="24"/>
        </w:rPr>
        <w:t>GASTOS EJECUTADOS</w:t>
      </w:r>
    </w:p>
    <w:p w:rsidR="00072FEB" w:rsidRPr="00565F73" w:rsidRDefault="00072FEB" w:rsidP="001D6862">
      <w:pPr>
        <w:spacing w:before="0" w:after="0"/>
        <w:rPr>
          <w:rFonts w:ascii="Tahoma" w:hAnsi="Tahoma" w:cs="Tahoma"/>
          <w:b/>
          <w:sz w:val="16"/>
          <w:szCs w:val="24"/>
        </w:rPr>
      </w:pPr>
    </w:p>
    <w:p w:rsidR="00CD3A6C" w:rsidRDefault="00524E1D" w:rsidP="00C01693">
      <w:pPr>
        <w:spacing w:before="0" w:after="0"/>
        <w:jc w:val="both"/>
        <w:rPr>
          <w:rFonts w:ascii="Tahoma" w:hAnsi="Tahoma" w:cs="Tahoma"/>
          <w:bCs/>
          <w:color w:val="auto"/>
        </w:rPr>
      </w:pPr>
      <w:r w:rsidRPr="00B65E8C">
        <w:rPr>
          <w:rFonts w:ascii="Tahoma" w:hAnsi="Tahoma" w:cs="Tahoma"/>
          <w:color w:val="auto"/>
        </w:rPr>
        <w:t>A</w:t>
      </w:r>
      <w:r w:rsidR="00E111B6">
        <w:rPr>
          <w:rFonts w:ascii="Tahoma" w:hAnsi="Tahoma" w:cs="Tahoma"/>
          <w:color w:val="auto"/>
        </w:rPr>
        <w:t xml:space="preserve"> Diciembre 31 de 2015, </w:t>
      </w:r>
      <w:r w:rsidRPr="00B65E8C">
        <w:rPr>
          <w:rFonts w:ascii="Tahoma" w:hAnsi="Tahoma" w:cs="Tahoma"/>
          <w:color w:val="auto"/>
        </w:rPr>
        <w:t xml:space="preserve">el Municipio de </w:t>
      </w:r>
      <w:r w:rsidR="00E111B6">
        <w:rPr>
          <w:rFonts w:ascii="Tahoma" w:hAnsi="Tahoma" w:cs="Tahoma"/>
          <w:color w:val="auto"/>
        </w:rPr>
        <w:t>Lérida</w:t>
      </w:r>
      <w:r w:rsidRPr="00B65E8C">
        <w:rPr>
          <w:rFonts w:ascii="Tahoma" w:hAnsi="Tahoma" w:cs="Tahoma"/>
          <w:color w:val="auto"/>
        </w:rPr>
        <w:t xml:space="preserve"> comprometió gastos por  </w:t>
      </w:r>
      <w:r w:rsidR="00E111B6">
        <w:rPr>
          <w:rFonts w:ascii="Tahoma" w:hAnsi="Tahoma" w:cs="Tahoma"/>
          <w:color w:val="auto"/>
        </w:rPr>
        <w:t>la suma</w:t>
      </w:r>
      <w:r w:rsidRPr="00B65E8C">
        <w:rPr>
          <w:rFonts w:ascii="Tahoma" w:hAnsi="Tahoma" w:cs="Tahoma"/>
          <w:color w:val="auto"/>
        </w:rPr>
        <w:t xml:space="preserve"> de $</w:t>
      </w:r>
      <w:r w:rsidR="00E111B6">
        <w:rPr>
          <w:rFonts w:ascii="Tahoma" w:hAnsi="Tahoma" w:cs="Tahoma"/>
          <w:color w:val="auto"/>
        </w:rPr>
        <w:t>21.323</w:t>
      </w:r>
      <w:r w:rsidR="00264A57">
        <w:rPr>
          <w:rFonts w:ascii="Tahoma" w:hAnsi="Tahoma" w:cs="Tahoma"/>
          <w:color w:val="auto"/>
        </w:rPr>
        <w:t xml:space="preserve"> millones</w:t>
      </w:r>
      <w:r w:rsidR="00E111B6">
        <w:rPr>
          <w:rFonts w:ascii="Tahoma" w:hAnsi="Tahoma" w:cs="Tahoma"/>
          <w:color w:val="auto"/>
        </w:rPr>
        <w:t xml:space="preserve">, </w:t>
      </w:r>
      <w:r w:rsidR="006C7116">
        <w:rPr>
          <w:rFonts w:ascii="Tahoma" w:hAnsi="Tahoma" w:cs="Tahoma"/>
          <w:color w:val="auto"/>
        </w:rPr>
        <w:t xml:space="preserve"> </w:t>
      </w:r>
      <w:r w:rsidRPr="00B65E8C">
        <w:rPr>
          <w:rFonts w:ascii="Tahoma" w:hAnsi="Tahoma" w:cs="Tahoma"/>
          <w:bCs/>
          <w:color w:val="auto"/>
        </w:rPr>
        <w:t>distribuidos entre Gastos de Funcionamiento por $</w:t>
      </w:r>
      <w:r w:rsidR="00264A57">
        <w:rPr>
          <w:rFonts w:ascii="Tahoma" w:hAnsi="Tahoma" w:cs="Tahoma"/>
          <w:bCs/>
          <w:color w:val="auto"/>
        </w:rPr>
        <w:t>3.247 millones</w:t>
      </w:r>
      <w:r w:rsidRPr="00B65E8C">
        <w:rPr>
          <w:rFonts w:ascii="Tahoma" w:hAnsi="Tahoma" w:cs="Tahoma"/>
          <w:bCs/>
          <w:color w:val="auto"/>
        </w:rPr>
        <w:t xml:space="preserve"> equivalentes al </w:t>
      </w:r>
      <w:r w:rsidR="009C7A81">
        <w:rPr>
          <w:rFonts w:ascii="Tahoma" w:hAnsi="Tahoma" w:cs="Tahoma"/>
          <w:bCs/>
          <w:color w:val="auto"/>
        </w:rPr>
        <w:t>15.23</w:t>
      </w:r>
      <w:r w:rsidRPr="00B65E8C">
        <w:rPr>
          <w:rFonts w:ascii="Tahoma" w:hAnsi="Tahoma" w:cs="Tahoma"/>
          <w:bCs/>
          <w:color w:val="auto"/>
        </w:rPr>
        <w:t xml:space="preserve">% e Inversión </w:t>
      </w:r>
      <w:r w:rsidR="009C7A81">
        <w:rPr>
          <w:rFonts w:ascii="Tahoma" w:hAnsi="Tahoma" w:cs="Tahoma"/>
          <w:bCs/>
          <w:color w:val="auto"/>
        </w:rPr>
        <w:t xml:space="preserve">en la suma </w:t>
      </w:r>
      <w:r w:rsidRPr="00B65E8C">
        <w:rPr>
          <w:rFonts w:ascii="Tahoma" w:hAnsi="Tahoma" w:cs="Tahoma"/>
          <w:bCs/>
          <w:color w:val="auto"/>
        </w:rPr>
        <w:t>de $</w:t>
      </w:r>
      <w:r w:rsidR="009C7A81">
        <w:rPr>
          <w:rFonts w:ascii="Tahoma" w:hAnsi="Tahoma" w:cs="Tahoma"/>
          <w:bCs/>
          <w:color w:val="auto"/>
        </w:rPr>
        <w:t>1</w:t>
      </w:r>
      <w:r w:rsidR="006E5817">
        <w:rPr>
          <w:rFonts w:ascii="Tahoma" w:hAnsi="Tahoma" w:cs="Tahoma"/>
          <w:bCs/>
          <w:color w:val="auto"/>
        </w:rPr>
        <w:t>8</w:t>
      </w:r>
      <w:r w:rsidR="009C7A81">
        <w:rPr>
          <w:rFonts w:ascii="Tahoma" w:hAnsi="Tahoma" w:cs="Tahoma"/>
          <w:bCs/>
          <w:color w:val="auto"/>
        </w:rPr>
        <w:t>.</w:t>
      </w:r>
      <w:r w:rsidR="006E5817">
        <w:rPr>
          <w:rFonts w:ascii="Tahoma" w:hAnsi="Tahoma" w:cs="Tahoma"/>
          <w:bCs/>
          <w:color w:val="auto"/>
        </w:rPr>
        <w:t>0</w:t>
      </w:r>
      <w:r w:rsidR="009C7A81">
        <w:rPr>
          <w:rFonts w:ascii="Tahoma" w:hAnsi="Tahoma" w:cs="Tahoma"/>
          <w:bCs/>
          <w:color w:val="auto"/>
        </w:rPr>
        <w:t>76</w:t>
      </w:r>
      <w:r w:rsidR="00264A57">
        <w:rPr>
          <w:rFonts w:ascii="Tahoma" w:hAnsi="Tahoma" w:cs="Tahoma"/>
          <w:bCs/>
          <w:color w:val="auto"/>
        </w:rPr>
        <w:t xml:space="preserve"> millones</w:t>
      </w:r>
      <w:r w:rsidR="006E5817">
        <w:rPr>
          <w:rFonts w:ascii="Tahoma" w:hAnsi="Tahoma" w:cs="Tahoma"/>
          <w:bCs/>
          <w:color w:val="auto"/>
        </w:rPr>
        <w:t xml:space="preserve"> equivalentes al 84.77</w:t>
      </w:r>
      <w:r w:rsidR="00C01693">
        <w:rPr>
          <w:rFonts w:ascii="Tahoma" w:hAnsi="Tahoma" w:cs="Tahoma"/>
          <w:bCs/>
          <w:color w:val="auto"/>
        </w:rPr>
        <w:t xml:space="preserve">%.  </w:t>
      </w:r>
    </w:p>
    <w:p w:rsidR="00C01693" w:rsidRPr="00565F73" w:rsidRDefault="00C01693" w:rsidP="00C01693">
      <w:pPr>
        <w:spacing w:before="0" w:after="0"/>
        <w:jc w:val="both"/>
        <w:rPr>
          <w:rFonts w:ascii="Tahoma" w:hAnsi="Tahoma" w:cs="Tahoma"/>
          <w:bCs/>
          <w:color w:val="auto"/>
          <w:sz w:val="14"/>
        </w:rPr>
      </w:pPr>
    </w:p>
    <w:p w:rsidR="00001B0E" w:rsidRDefault="00524E1D" w:rsidP="001D6862">
      <w:pPr>
        <w:spacing w:before="0" w:after="0"/>
        <w:jc w:val="both"/>
        <w:rPr>
          <w:rFonts w:ascii="Tahoma" w:hAnsi="Tahoma" w:cs="Tahoma"/>
          <w:color w:val="auto"/>
        </w:rPr>
      </w:pPr>
      <w:r w:rsidRPr="00B65E8C">
        <w:rPr>
          <w:rFonts w:ascii="Tahoma" w:hAnsi="Tahoma" w:cs="Tahoma"/>
          <w:color w:val="auto"/>
        </w:rPr>
        <w:t xml:space="preserve">De los </w:t>
      </w:r>
      <w:r w:rsidR="006C7116">
        <w:rPr>
          <w:rFonts w:ascii="Tahoma" w:hAnsi="Tahoma" w:cs="Tahoma"/>
          <w:color w:val="auto"/>
        </w:rPr>
        <w:t>Gastos de F</w:t>
      </w:r>
      <w:r w:rsidRPr="00B65E8C">
        <w:rPr>
          <w:rFonts w:ascii="Tahoma" w:hAnsi="Tahoma" w:cs="Tahoma"/>
          <w:color w:val="auto"/>
        </w:rPr>
        <w:t xml:space="preserve">uncionamiento se </w:t>
      </w:r>
      <w:r w:rsidR="00C01693">
        <w:rPr>
          <w:rFonts w:ascii="Tahoma" w:hAnsi="Tahoma" w:cs="Tahoma"/>
          <w:color w:val="auto"/>
        </w:rPr>
        <w:t xml:space="preserve">observó que </w:t>
      </w:r>
      <w:r w:rsidR="006C7116">
        <w:rPr>
          <w:rFonts w:ascii="Tahoma" w:hAnsi="Tahoma" w:cs="Tahoma"/>
          <w:color w:val="auto"/>
        </w:rPr>
        <w:t>el total comprometido fue  del 96.</w:t>
      </w:r>
      <w:r w:rsidR="00370F6C">
        <w:rPr>
          <w:rFonts w:ascii="Tahoma" w:hAnsi="Tahoma" w:cs="Tahoma"/>
          <w:color w:val="auto"/>
        </w:rPr>
        <w:t>23</w:t>
      </w:r>
      <w:r w:rsidR="006C7116">
        <w:rPr>
          <w:rFonts w:ascii="Tahoma" w:hAnsi="Tahoma" w:cs="Tahoma"/>
          <w:color w:val="auto"/>
        </w:rPr>
        <w:t xml:space="preserve">%,  </w:t>
      </w:r>
      <w:r w:rsidR="00C01693">
        <w:rPr>
          <w:rFonts w:ascii="Tahoma" w:hAnsi="Tahoma" w:cs="Tahoma"/>
          <w:color w:val="auto"/>
        </w:rPr>
        <w:t>los compromisos mayores se presentaron en</w:t>
      </w:r>
      <w:r w:rsidR="00001B0E">
        <w:rPr>
          <w:rFonts w:ascii="Tahoma" w:hAnsi="Tahoma" w:cs="Tahoma"/>
          <w:color w:val="auto"/>
        </w:rPr>
        <w:t xml:space="preserve"> los Gastos de Personal $1.215</w:t>
      </w:r>
      <w:r w:rsidR="00264A57">
        <w:rPr>
          <w:rFonts w:ascii="Tahoma" w:hAnsi="Tahoma" w:cs="Tahoma"/>
          <w:color w:val="auto"/>
        </w:rPr>
        <w:t xml:space="preserve"> millones</w:t>
      </w:r>
      <w:r w:rsidR="00001B0E">
        <w:rPr>
          <w:rFonts w:ascii="Tahoma" w:hAnsi="Tahoma" w:cs="Tahoma"/>
          <w:color w:val="auto"/>
        </w:rPr>
        <w:t>,  seguidos de</w:t>
      </w:r>
      <w:r w:rsidR="00C01693">
        <w:rPr>
          <w:rFonts w:ascii="Tahoma" w:hAnsi="Tahoma" w:cs="Tahoma"/>
          <w:color w:val="auto"/>
        </w:rPr>
        <w:t xml:space="preserve"> Gastos</w:t>
      </w:r>
      <w:r w:rsidR="00001B0E">
        <w:rPr>
          <w:rFonts w:ascii="Tahoma" w:hAnsi="Tahoma" w:cs="Tahoma"/>
          <w:color w:val="auto"/>
        </w:rPr>
        <w:t xml:space="preserve"> Generales </w:t>
      </w:r>
      <w:r w:rsidR="006C7116">
        <w:rPr>
          <w:rFonts w:ascii="Tahoma" w:hAnsi="Tahoma" w:cs="Tahoma"/>
          <w:color w:val="auto"/>
        </w:rPr>
        <w:t>en</w:t>
      </w:r>
      <w:r w:rsidR="00C01693">
        <w:rPr>
          <w:rFonts w:ascii="Tahoma" w:hAnsi="Tahoma" w:cs="Tahoma"/>
          <w:color w:val="auto"/>
        </w:rPr>
        <w:t xml:space="preserve"> $1.102</w:t>
      </w:r>
      <w:r w:rsidR="00264A57">
        <w:rPr>
          <w:rFonts w:ascii="Tahoma" w:hAnsi="Tahoma" w:cs="Tahoma"/>
          <w:color w:val="auto"/>
        </w:rPr>
        <w:t xml:space="preserve"> millones</w:t>
      </w:r>
      <w:r w:rsidR="00001B0E">
        <w:rPr>
          <w:rFonts w:ascii="Tahoma" w:hAnsi="Tahoma" w:cs="Tahoma"/>
          <w:color w:val="auto"/>
        </w:rPr>
        <w:t xml:space="preserve"> y las Transferencias</w:t>
      </w:r>
      <w:r w:rsidR="006C7116">
        <w:rPr>
          <w:rFonts w:ascii="Tahoma" w:hAnsi="Tahoma" w:cs="Tahoma"/>
          <w:color w:val="auto"/>
        </w:rPr>
        <w:t xml:space="preserve"> por $</w:t>
      </w:r>
      <w:r w:rsidR="00001B0E">
        <w:rPr>
          <w:rFonts w:ascii="Tahoma" w:hAnsi="Tahoma" w:cs="Tahoma"/>
          <w:color w:val="auto"/>
        </w:rPr>
        <w:t>929</w:t>
      </w:r>
      <w:r w:rsidR="00264A57">
        <w:rPr>
          <w:rFonts w:ascii="Tahoma" w:hAnsi="Tahoma" w:cs="Tahoma"/>
          <w:color w:val="auto"/>
        </w:rPr>
        <w:t xml:space="preserve"> millones</w:t>
      </w:r>
      <w:r w:rsidR="00001B0E">
        <w:rPr>
          <w:rFonts w:ascii="Tahoma" w:hAnsi="Tahoma" w:cs="Tahoma"/>
          <w:color w:val="auto"/>
        </w:rPr>
        <w:t>.</w:t>
      </w:r>
    </w:p>
    <w:p w:rsidR="00C01693" w:rsidRDefault="00001B0E" w:rsidP="001D6862">
      <w:pPr>
        <w:spacing w:before="0" w:after="0"/>
        <w:jc w:val="both"/>
        <w:rPr>
          <w:rFonts w:ascii="Tahoma" w:hAnsi="Tahoma" w:cs="Tahoma"/>
          <w:color w:val="auto"/>
        </w:rPr>
      </w:pPr>
      <w:r>
        <w:rPr>
          <w:rFonts w:ascii="Tahoma" w:hAnsi="Tahoma" w:cs="Tahoma"/>
          <w:color w:val="auto"/>
        </w:rPr>
        <w:t xml:space="preserve"> </w:t>
      </w:r>
    </w:p>
    <w:p w:rsidR="0067483D" w:rsidRDefault="003B030A" w:rsidP="001D6862">
      <w:pPr>
        <w:spacing w:before="0" w:after="0"/>
        <w:jc w:val="both"/>
        <w:rPr>
          <w:rFonts w:ascii="Tahoma" w:hAnsi="Tahoma" w:cs="Tahoma"/>
          <w:color w:val="auto"/>
        </w:rPr>
      </w:pPr>
      <w:r>
        <w:rPr>
          <w:rFonts w:ascii="Tahoma" w:hAnsi="Tahoma" w:cs="Tahoma"/>
          <w:color w:val="auto"/>
        </w:rPr>
        <w:t>De l</w:t>
      </w:r>
      <w:r w:rsidR="006C7116">
        <w:rPr>
          <w:rFonts w:ascii="Tahoma" w:hAnsi="Tahoma" w:cs="Tahoma"/>
          <w:color w:val="auto"/>
        </w:rPr>
        <w:t>os Gastos de I</w:t>
      </w:r>
      <w:r w:rsidR="00524E1D" w:rsidRPr="009C7C0D">
        <w:rPr>
          <w:rFonts w:ascii="Tahoma" w:hAnsi="Tahoma" w:cs="Tahoma"/>
          <w:color w:val="auto"/>
        </w:rPr>
        <w:t>nversión</w:t>
      </w:r>
      <w:r>
        <w:rPr>
          <w:rFonts w:ascii="Tahoma" w:hAnsi="Tahoma" w:cs="Tahoma"/>
          <w:color w:val="auto"/>
        </w:rPr>
        <w:t xml:space="preserve"> se observó que</w:t>
      </w:r>
      <w:r w:rsidR="006C7116">
        <w:rPr>
          <w:rFonts w:ascii="Tahoma" w:hAnsi="Tahoma" w:cs="Tahoma"/>
          <w:color w:val="auto"/>
        </w:rPr>
        <w:t xml:space="preserve"> el total comprometido fue del</w:t>
      </w:r>
      <w:r w:rsidR="00482348">
        <w:rPr>
          <w:rFonts w:ascii="Tahoma" w:hAnsi="Tahoma" w:cs="Tahoma"/>
          <w:color w:val="auto"/>
        </w:rPr>
        <w:t xml:space="preserve"> 93.82%</w:t>
      </w:r>
      <w:r w:rsidR="00524E1D" w:rsidRPr="009C7C0D">
        <w:rPr>
          <w:rFonts w:ascii="Tahoma" w:hAnsi="Tahoma" w:cs="Tahoma"/>
          <w:color w:val="auto"/>
        </w:rPr>
        <w:t xml:space="preserve">, </w:t>
      </w:r>
      <w:r w:rsidR="003D4B2C">
        <w:rPr>
          <w:rFonts w:ascii="Tahoma" w:hAnsi="Tahoma" w:cs="Tahoma"/>
          <w:color w:val="auto"/>
        </w:rPr>
        <w:t xml:space="preserve">la mayor inversión se realizó en el sector Salud </w:t>
      </w:r>
      <w:r w:rsidR="00FA47DA">
        <w:rPr>
          <w:rFonts w:ascii="Tahoma" w:hAnsi="Tahoma" w:cs="Tahoma"/>
          <w:color w:val="auto"/>
        </w:rPr>
        <w:t>con</w:t>
      </w:r>
      <w:r w:rsidR="00075575">
        <w:rPr>
          <w:rFonts w:ascii="Tahoma" w:hAnsi="Tahoma" w:cs="Tahoma"/>
          <w:color w:val="auto"/>
        </w:rPr>
        <w:t xml:space="preserve"> la suma de </w:t>
      </w:r>
      <w:r w:rsidR="00264A57">
        <w:rPr>
          <w:rFonts w:ascii="Tahoma" w:hAnsi="Tahoma" w:cs="Tahoma"/>
          <w:color w:val="auto"/>
        </w:rPr>
        <w:t>$7.121 millones</w:t>
      </w:r>
      <w:r w:rsidR="003D4B2C" w:rsidRPr="00264A57">
        <w:rPr>
          <w:rFonts w:ascii="Tahoma" w:hAnsi="Tahoma" w:cs="Tahoma"/>
          <w:color w:val="auto"/>
        </w:rPr>
        <w:t>, seguida de</w:t>
      </w:r>
      <w:r w:rsidR="003D4B2C">
        <w:rPr>
          <w:rFonts w:ascii="Tahoma" w:hAnsi="Tahoma" w:cs="Tahoma"/>
          <w:color w:val="auto"/>
        </w:rPr>
        <w:t xml:space="preserve">  </w:t>
      </w:r>
      <w:r w:rsidR="00FA47DA">
        <w:rPr>
          <w:rFonts w:ascii="Tahoma" w:hAnsi="Tahoma" w:cs="Tahoma"/>
          <w:color w:val="auto"/>
        </w:rPr>
        <w:t>Educación con $883</w:t>
      </w:r>
      <w:r w:rsidR="00264A57">
        <w:rPr>
          <w:rFonts w:ascii="Tahoma" w:hAnsi="Tahoma" w:cs="Tahoma"/>
          <w:color w:val="auto"/>
        </w:rPr>
        <w:t xml:space="preserve"> millones</w:t>
      </w:r>
      <w:r w:rsidR="00FA47DA">
        <w:rPr>
          <w:rFonts w:ascii="Tahoma" w:hAnsi="Tahoma" w:cs="Tahoma"/>
          <w:color w:val="auto"/>
        </w:rPr>
        <w:t>,  Agua Potable y Saneamiento Básico con $1.374</w:t>
      </w:r>
      <w:r w:rsidR="00264A57">
        <w:rPr>
          <w:rFonts w:ascii="Tahoma" w:hAnsi="Tahoma" w:cs="Tahoma"/>
          <w:color w:val="auto"/>
        </w:rPr>
        <w:t xml:space="preserve"> millones</w:t>
      </w:r>
      <w:r w:rsidR="00FA47DA">
        <w:rPr>
          <w:rFonts w:ascii="Tahoma" w:hAnsi="Tahoma" w:cs="Tahoma"/>
          <w:color w:val="auto"/>
        </w:rPr>
        <w:t>,  Deporte con $551</w:t>
      </w:r>
      <w:r w:rsidR="00264A57">
        <w:rPr>
          <w:rFonts w:ascii="Tahoma" w:hAnsi="Tahoma" w:cs="Tahoma"/>
          <w:color w:val="auto"/>
        </w:rPr>
        <w:t xml:space="preserve"> millones</w:t>
      </w:r>
      <w:r w:rsidR="00FA47DA">
        <w:rPr>
          <w:rFonts w:ascii="Tahoma" w:hAnsi="Tahoma" w:cs="Tahoma"/>
          <w:color w:val="auto"/>
        </w:rPr>
        <w:t>, Cultura con $321</w:t>
      </w:r>
      <w:r w:rsidR="00264A57">
        <w:rPr>
          <w:rFonts w:ascii="Tahoma" w:hAnsi="Tahoma" w:cs="Tahoma"/>
          <w:color w:val="auto"/>
        </w:rPr>
        <w:t xml:space="preserve"> millones</w:t>
      </w:r>
      <w:r w:rsidR="00FA47DA">
        <w:rPr>
          <w:rFonts w:ascii="Tahoma" w:hAnsi="Tahoma" w:cs="Tahoma"/>
          <w:color w:val="auto"/>
        </w:rPr>
        <w:t>, otros Sectores con $4.581</w:t>
      </w:r>
      <w:r w:rsidR="00264A57" w:rsidRPr="00264A57">
        <w:rPr>
          <w:rFonts w:ascii="Tahoma" w:hAnsi="Tahoma" w:cs="Tahoma"/>
          <w:color w:val="auto"/>
        </w:rPr>
        <w:t xml:space="preserve"> </w:t>
      </w:r>
      <w:r w:rsidR="00264A57">
        <w:rPr>
          <w:rFonts w:ascii="Tahoma" w:hAnsi="Tahoma" w:cs="Tahoma"/>
          <w:color w:val="auto"/>
        </w:rPr>
        <w:t>millones</w:t>
      </w:r>
      <w:r w:rsidR="00FA47DA">
        <w:rPr>
          <w:rFonts w:ascii="Tahoma" w:hAnsi="Tahoma" w:cs="Tahoma"/>
          <w:color w:val="auto"/>
        </w:rPr>
        <w:t>, Sistema General de Regalías $1.837</w:t>
      </w:r>
      <w:r w:rsidR="00264A57">
        <w:rPr>
          <w:rFonts w:ascii="Tahoma" w:hAnsi="Tahoma" w:cs="Tahoma"/>
          <w:color w:val="auto"/>
        </w:rPr>
        <w:t xml:space="preserve"> millones</w:t>
      </w:r>
      <w:r w:rsidR="00741448">
        <w:rPr>
          <w:rFonts w:ascii="Tahoma" w:hAnsi="Tahoma" w:cs="Tahoma"/>
          <w:color w:val="auto"/>
        </w:rPr>
        <w:t xml:space="preserve"> entre otros</w:t>
      </w:r>
      <w:r w:rsidR="00D86264">
        <w:rPr>
          <w:rFonts w:ascii="Tahoma" w:hAnsi="Tahoma" w:cs="Tahoma"/>
          <w:color w:val="auto"/>
        </w:rPr>
        <w:t>.</w:t>
      </w:r>
      <w:r w:rsidR="005D655F">
        <w:rPr>
          <w:rFonts w:ascii="Tahoma" w:hAnsi="Tahoma" w:cs="Tahoma"/>
          <w:color w:val="auto"/>
        </w:rPr>
        <w:t xml:space="preserve">  </w:t>
      </w:r>
    </w:p>
    <w:p w:rsidR="005D655F" w:rsidRDefault="005D655F" w:rsidP="001D6862">
      <w:pPr>
        <w:spacing w:before="0" w:after="0"/>
        <w:jc w:val="both"/>
        <w:rPr>
          <w:rFonts w:ascii="Tahoma" w:hAnsi="Tahoma" w:cs="Tahoma"/>
          <w:bCs/>
          <w:color w:val="auto"/>
        </w:rPr>
      </w:pPr>
    </w:p>
    <w:p w:rsidR="00231ECA" w:rsidRDefault="00231ECA" w:rsidP="001D6862">
      <w:pPr>
        <w:spacing w:before="0" w:after="0"/>
        <w:jc w:val="both"/>
        <w:rPr>
          <w:rFonts w:ascii="Tahoma" w:hAnsi="Tahoma" w:cs="Tahoma"/>
          <w:b/>
          <w:bCs/>
          <w:color w:val="auto"/>
        </w:rPr>
      </w:pPr>
    </w:p>
    <w:p w:rsidR="00040B1A" w:rsidRPr="00E71D96" w:rsidRDefault="00454315" w:rsidP="001D6862">
      <w:pPr>
        <w:spacing w:before="0" w:after="0"/>
        <w:jc w:val="both"/>
        <w:rPr>
          <w:rFonts w:ascii="Tahoma" w:hAnsi="Tahoma" w:cs="Tahoma"/>
          <w:b/>
          <w:bCs/>
          <w:color w:val="auto"/>
        </w:rPr>
      </w:pPr>
      <w:r w:rsidRPr="00E71D96">
        <w:rPr>
          <w:rFonts w:ascii="Tahoma" w:hAnsi="Tahoma" w:cs="Tahoma"/>
          <w:b/>
          <w:bCs/>
          <w:color w:val="auto"/>
        </w:rPr>
        <w:lastRenderedPageBreak/>
        <w:t xml:space="preserve">COMPARATIVO DE </w:t>
      </w:r>
      <w:r w:rsidR="00926286">
        <w:rPr>
          <w:rFonts w:ascii="Tahoma" w:hAnsi="Tahoma" w:cs="Tahoma"/>
          <w:b/>
          <w:bCs/>
          <w:color w:val="auto"/>
        </w:rPr>
        <w:t>G</w:t>
      </w:r>
      <w:r w:rsidR="00F5220F">
        <w:rPr>
          <w:rFonts w:ascii="Tahoma" w:hAnsi="Tahoma" w:cs="Tahoma"/>
          <w:b/>
          <w:bCs/>
          <w:color w:val="auto"/>
        </w:rPr>
        <w:t>A</w:t>
      </w:r>
      <w:r w:rsidR="00926286">
        <w:rPr>
          <w:rFonts w:ascii="Tahoma" w:hAnsi="Tahoma" w:cs="Tahoma"/>
          <w:b/>
          <w:bCs/>
          <w:color w:val="auto"/>
        </w:rPr>
        <w:t>STOS COMPROMETIDOS</w:t>
      </w:r>
      <w:r w:rsidRPr="00E71D96">
        <w:rPr>
          <w:rFonts w:ascii="Tahoma" w:hAnsi="Tahoma" w:cs="Tahoma"/>
          <w:b/>
          <w:bCs/>
          <w:color w:val="auto"/>
        </w:rPr>
        <w:t xml:space="preserve"> 2014 – 2015</w:t>
      </w:r>
    </w:p>
    <w:p w:rsidR="00454315" w:rsidRDefault="00454315" w:rsidP="001D6862">
      <w:pPr>
        <w:spacing w:before="0" w:after="0"/>
        <w:jc w:val="both"/>
        <w:rPr>
          <w:rFonts w:ascii="Tahoma" w:hAnsi="Tahoma" w:cs="Tahoma"/>
          <w:bCs/>
          <w:color w:val="auto"/>
        </w:rPr>
      </w:pPr>
    </w:p>
    <w:p w:rsidR="00454315" w:rsidRDefault="00075575" w:rsidP="001D6862">
      <w:pPr>
        <w:spacing w:before="0" w:after="0"/>
        <w:jc w:val="both"/>
        <w:rPr>
          <w:rFonts w:ascii="Tahoma" w:hAnsi="Tahoma" w:cs="Tahoma"/>
          <w:bCs/>
          <w:color w:val="auto"/>
        </w:rPr>
      </w:pPr>
      <w:r w:rsidRPr="00075575">
        <w:rPr>
          <w:noProof/>
        </w:rPr>
        <w:drawing>
          <wp:inline distT="0" distB="0" distL="0" distR="0" wp14:anchorId="736AAD0D" wp14:editId="5E7DBB24">
            <wp:extent cx="5958840" cy="1455420"/>
            <wp:effectExtent l="0" t="0" r="381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959229" cy="1455515"/>
                    </a:xfrm>
                    <a:prstGeom prst="rect">
                      <a:avLst/>
                    </a:prstGeom>
                  </pic:spPr>
                </pic:pic>
              </a:graphicData>
            </a:graphic>
          </wp:inline>
        </w:drawing>
      </w:r>
    </w:p>
    <w:p w:rsidR="0014403D" w:rsidRDefault="0014403D" w:rsidP="001D6862">
      <w:pPr>
        <w:spacing w:before="0" w:after="0"/>
        <w:jc w:val="both"/>
        <w:rPr>
          <w:rFonts w:ascii="Tahoma" w:hAnsi="Tahoma" w:cs="Tahoma"/>
          <w:bCs/>
          <w:color w:val="auto"/>
        </w:rPr>
      </w:pPr>
    </w:p>
    <w:p w:rsidR="00D76FA2" w:rsidRDefault="00D76FA2" w:rsidP="001D6862">
      <w:pPr>
        <w:spacing w:before="0" w:after="0"/>
        <w:jc w:val="both"/>
        <w:rPr>
          <w:rFonts w:ascii="Tahoma" w:hAnsi="Tahoma" w:cs="Tahoma"/>
          <w:bCs/>
          <w:color w:val="auto"/>
        </w:rPr>
      </w:pPr>
      <w:r>
        <w:rPr>
          <w:rFonts w:ascii="Tahoma" w:hAnsi="Tahoma" w:cs="Tahoma"/>
          <w:bCs/>
          <w:color w:val="auto"/>
        </w:rPr>
        <w:t xml:space="preserve">De lo anterior se pudo observar que </w:t>
      </w:r>
      <w:r w:rsidR="007E35B4">
        <w:rPr>
          <w:rFonts w:ascii="Tahoma" w:hAnsi="Tahoma" w:cs="Tahoma"/>
          <w:bCs/>
          <w:color w:val="auto"/>
        </w:rPr>
        <w:t>la ejecución del presupuesto de la vigencia 2015</w:t>
      </w:r>
      <w:r w:rsidR="00E15E67">
        <w:rPr>
          <w:rFonts w:ascii="Tahoma" w:hAnsi="Tahoma" w:cs="Tahoma"/>
          <w:bCs/>
          <w:color w:val="auto"/>
        </w:rPr>
        <w:t xml:space="preserve"> tuvo un crecimiento del </w:t>
      </w:r>
      <w:r w:rsidR="009B4265">
        <w:rPr>
          <w:rFonts w:ascii="Tahoma" w:hAnsi="Tahoma" w:cs="Tahoma"/>
          <w:bCs/>
          <w:color w:val="auto"/>
        </w:rPr>
        <w:t>30.21%</w:t>
      </w:r>
      <w:r w:rsidR="00E15E67">
        <w:rPr>
          <w:rFonts w:ascii="Tahoma" w:hAnsi="Tahoma" w:cs="Tahoma"/>
          <w:bCs/>
          <w:color w:val="auto"/>
        </w:rPr>
        <w:t xml:space="preserve"> con relación al año anterior, siendo más representativo el incremento en </w:t>
      </w:r>
      <w:r w:rsidR="000229B5">
        <w:rPr>
          <w:rFonts w:ascii="Tahoma" w:hAnsi="Tahoma" w:cs="Tahoma"/>
          <w:bCs/>
          <w:color w:val="auto"/>
        </w:rPr>
        <w:t xml:space="preserve">los </w:t>
      </w:r>
      <w:r w:rsidR="009B4265">
        <w:rPr>
          <w:rFonts w:ascii="Tahoma" w:hAnsi="Tahoma" w:cs="Tahoma"/>
          <w:bCs/>
          <w:color w:val="auto"/>
        </w:rPr>
        <w:t xml:space="preserve">Gastos Generales en un 35.15% y los Gastos de Inversión </w:t>
      </w:r>
      <w:r w:rsidR="00337AB0">
        <w:rPr>
          <w:rFonts w:ascii="Tahoma" w:hAnsi="Tahoma" w:cs="Tahoma"/>
          <w:bCs/>
          <w:color w:val="auto"/>
        </w:rPr>
        <w:t xml:space="preserve">con el </w:t>
      </w:r>
      <w:r w:rsidR="009B4265">
        <w:rPr>
          <w:rFonts w:ascii="Tahoma" w:hAnsi="Tahoma" w:cs="Tahoma"/>
          <w:bCs/>
          <w:color w:val="auto"/>
        </w:rPr>
        <w:t xml:space="preserve"> 47.65%, igualmente s</w:t>
      </w:r>
      <w:r w:rsidR="009C3354">
        <w:rPr>
          <w:rFonts w:ascii="Tahoma" w:hAnsi="Tahoma" w:cs="Tahoma"/>
          <w:bCs/>
          <w:color w:val="auto"/>
        </w:rPr>
        <w:t>e resalta la disminución en las Transferencias Corrientes en un 57.61%.</w:t>
      </w:r>
      <w:r>
        <w:rPr>
          <w:rFonts w:ascii="Tahoma" w:hAnsi="Tahoma" w:cs="Tahoma"/>
          <w:bCs/>
          <w:color w:val="auto"/>
        </w:rPr>
        <w:t xml:space="preserve"> </w:t>
      </w:r>
    </w:p>
    <w:p w:rsidR="00D95BCE" w:rsidRPr="00741448" w:rsidRDefault="00D95BCE" w:rsidP="001D6862">
      <w:pPr>
        <w:spacing w:before="0" w:after="0"/>
        <w:jc w:val="center"/>
        <w:rPr>
          <w:rFonts w:ascii="Tahoma" w:hAnsi="Tahoma" w:cs="Tahoma"/>
          <w:b/>
        </w:rPr>
      </w:pPr>
    </w:p>
    <w:p w:rsidR="00524E1D" w:rsidRPr="00E924E2" w:rsidRDefault="005D655F" w:rsidP="001D6862">
      <w:pPr>
        <w:spacing w:before="0" w:after="0"/>
        <w:jc w:val="center"/>
        <w:rPr>
          <w:rFonts w:ascii="Tahoma" w:hAnsi="Tahoma" w:cs="Tahoma"/>
          <w:b/>
        </w:rPr>
      </w:pPr>
      <w:r w:rsidRPr="00741448">
        <w:rPr>
          <w:rFonts w:ascii="Tahoma" w:hAnsi="Tahoma" w:cs="Tahoma"/>
          <w:b/>
        </w:rPr>
        <w:t>C</w:t>
      </w:r>
      <w:r w:rsidR="00524E1D" w:rsidRPr="00741448">
        <w:rPr>
          <w:rFonts w:ascii="Tahoma" w:hAnsi="Tahoma" w:cs="Tahoma"/>
          <w:b/>
        </w:rPr>
        <w:t>APITULO 3</w:t>
      </w:r>
    </w:p>
    <w:p w:rsidR="00524E1D" w:rsidRPr="00E924E2" w:rsidRDefault="00524E1D" w:rsidP="001D6862">
      <w:pPr>
        <w:spacing w:before="0" w:after="0"/>
        <w:rPr>
          <w:rFonts w:ascii="Tahoma" w:hAnsi="Tahoma" w:cs="Tahoma"/>
          <w:b/>
        </w:rPr>
      </w:pPr>
    </w:p>
    <w:p w:rsidR="00E56795" w:rsidRDefault="00E56795" w:rsidP="001D6862">
      <w:pPr>
        <w:spacing w:before="0" w:after="0"/>
        <w:jc w:val="both"/>
        <w:rPr>
          <w:rFonts w:ascii="Tahoma" w:hAnsi="Tahoma" w:cs="Tahoma"/>
          <w:b/>
        </w:rPr>
      </w:pPr>
    </w:p>
    <w:p w:rsidR="00524E1D" w:rsidRDefault="00524E1D" w:rsidP="001D6862">
      <w:pPr>
        <w:spacing w:before="0" w:after="0"/>
        <w:jc w:val="both"/>
        <w:rPr>
          <w:rFonts w:ascii="Tahoma" w:hAnsi="Tahoma" w:cs="Tahoma"/>
          <w:b/>
        </w:rPr>
      </w:pPr>
      <w:r w:rsidRPr="00E924E2">
        <w:rPr>
          <w:rFonts w:ascii="Tahoma" w:hAnsi="Tahoma" w:cs="Tahoma"/>
          <w:b/>
        </w:rPr>
        <w:t>VIABILDIAD FINANCIERA</w:t>
      </w:r>
    </w:p>
    <w:p w:rsidR="00C46A08" w:rsidRDefault="00C46A08" w:rsidP="001D6862">
      <w:pPr>
        <w:spacing w:before="0" w:after="0"/>
        <w:jc w:val="both"/>
        <w:rPr>
          <w:rFonts w:ascii="Tahoma" w:hAnsi="Tahoma" w:cs="Tahoma"/>
          <w:b/>
        </w:rPr>
      </w:pPr>
    </w:p>
    <w:p w:rsidR="00EE23CA" w:rsidRDefault="00EE23CA" w:rsidP="00E56795">
      <w:pPr>
        <w:spacing w:before="0" w:after="0"/>
        <w:jc w:val="both"/>
      </w:pPr>
    </w:p>
    <w:p w:rsidR="00E56795" w:rsidRPr="00741448" w:rsidRDefault="00B24EC6" w:rsidP="00E56795">
      <w:pPr>
        <w:spacing w:before="0" w:after="0"/>
        <w:jc w:val="both"/>
      </w:pPr>
      <w:r>
        <w:t>El Municipio de Lérida</w:t>
      </w:r>
      <w:r w:rsidR="00C47D9E">
        <w:t xml:space="preserve"> está clasificado en Sexta (6) categoría y  el límite de los gastos de funcionamiento como proporción de sus ingresos corrientes de libre destinación es hasta un 80%, donde los  Gastos de funcionamiento no podrán superar el límite como proporción a sus ingresos corrientes de libre destinación</w:t>
      </w:r>
      <w:r w:rsidR="00E56795">
        <w:t xml:space="preserve"> </w:t>
      </w:r>
      <w:r w:rsidR="00E56795" w:rsidRPr="00741448">
        <w:t xml:space="preserve">según lo establecido en la Ley 617 de 2000.  </w:t>
      </w:r>
    </w:p>
    <w:p w:rsidR="00E56795" w:rsidRDefault="00E56795" w:rsidP="00E56795">
      <w:pPr>
        <w:spacing w:before="0" w:after="0"/>
        <w:jc w:val="both"/>
      </w:pPr>
    </w:p>
    <w:p w:rsidR="00C47D9E" w:rsidRPr="00E924E2" w:rsidRDefault="00C47D9E" w:rsidP="00C47D9E">
      <w:pPr>
        <w:spacing w:before="0" w:after="0"/>
        <w:jc w:val="both"/>
        <w:rPr>
          <w:rFonts w:ascii="Tahoma" w:hAnsi="Tahoma" w:cs="Tahoma"/>
          <w:b/>
        </w:rPr>
      </w:pPr>
    </w:p>
    <w:p w:rsidR="00524E1D" w:rsidRPr="00E924E2" w:rsidRDefault="00524E1D" w:rsidP="001D6862">
      <w:pPr>
        <w:pStyle w:val="NormalWeb"/>
        <w:spacing w:before="0" w:beforeAutospacing="0" w:after="0" w:afterAutospacing="0"/>
        <w:jc w:val="both"/>
        <w:rPr>
          <w:rFonts w:ascii="Tahoma" w:hAnsi="Tahoma" w:cs="Tahoma"/>
          <w:b/>
          <w:sz w:val="22"/>
          <w:szCs w:val="22"/>
        </w:rPr>
      </w:pPr>
      <w:r w:rsidRPr="00E924E2">
        <w:rPr>
          <w:rFonts w:ascii="Tahoma" w:hAnsi="Tahoma" w:cs="Tahoma"/>
          <w:b/>
          <w:bCs/>
          <w:sz w:val="22"/>
          <w:szCs w:val="22"/>
        </w:rPr>
        <w:t>3.</w:t>
      </w:r>
      <w:r w:rsidR="00E56795">
        <w:rPr>
          <w:rFonts w:ascii="Tahoma" w:hAnsi="Tahoma" w:cs="Tahoma"/>
          <w:b/>
          <w:bCs/>
          <w:sz w:val="22"/>
          <w:szCs w:val="22"/>
        </w:rPr>
        <w:t>1</w:t>
      </w:r>
      <w:r w:rsidRPr="00E924E2">
        <w:rPr>
          <w:rFonts w:ascii="Tahoma" w:hAnsi="Tahoma" w:cs="Tahoma"/>
          <w:b/>
          <w:bCs/>
          <w:sz w:val="22"/>
          <w:szCs w:val="22"/>
        </w:rPr>
        <w:t xml:space="preserve">  </w:t>
      </w:r>
      <w:r w:rsidR="00741448">
        <w:rPr>
          <w:rFonts w:ascii="Tahoma" w:hAnsi="Tahoma" w:cs="Tahoma"/>
          <w:b/>
          <w:bCs/>
          <w:sz w:val="22"/>
          <w:szCs w:val="22"/>
        </w:rPr>
        <w:t>Indicador de Gastos de</w:t>
      </w:r>
      <w:r w:rsidRPr="00E924E2">
        <w:rPr>
          <w:rFonts w:ascii="Tahoma" w:hAnsi="Tahoma" w:cs="Tahoma"/>
          <w:b/>
          <w:sz w:val="22"/>
          <w:szCs w:val="22"/>
        </w:rPr>
        <w:t xml:space="preserve"> Funcionamiento</w:t>
      </w:r>
      <w:r w:rsidR="00741448">
        <w:rPr>
          <w:rFonts w:ascii="Tahoma" w:hAnsi="Tahoma" w:cs="Tahoma"/>
          <w:b/>
          <w:sz w:val="22"/>
          <w:szCs w:val="22"/>
        </w:rPr>
        <w:t xml:space="preserve">  VS  I.C.L.D</w:t>
      </w:r>
    </w:p>
    <w:p w:rsidR="00741448" w:rsidRDefault="00741448" w:rsidP="00741448">
      <w:pPr>
        <w:pStyle w:val="NormalWeb"/>
        <w:spacing w:before="0" w:beforeAutospacing="0" w:after="0" w:afterAutospacing="0"/>
        <w:rPr>
          <w:rFonts w:ascii="Tahoma" w:hAnsi="Tahoma" w:cs="Tahoma"/>
          <w:b/>
          <w:sz w:val="22"/>
          <w:szCs w:val="22"/>
        </w:rPr>
      </w:pPr>
    </w:p>
    <w:p w:rsidR="00EE23CA" w:rsidRDefault="00EE23CA" w:rsidP="00741448">
      <w:pPr>
        <w:pStyle w:val="NormalWeb"/>
        <w:spacing w:before="0" w:beforeAutospacing="0" w:after="0" w:afterAutospacing="0"/>
        <w:rPr>
          <w:rFonts w:ascii="Tahoma" w:hAnsi="Tahoma" w:cs="Tahoma"/>
          <w:b/>
          <w:sz w:val="22"/>
          <w:szCs w:val="22"/>
        </w:rPr>
      </w:pPr>
    </w:p>
    <w:p w:rsidR="00524E1D" w:rsidRDefault="00524E1D" w:rsidP="00741448">
      <w:pPr>
        <w:pStyle w:val="NormalWeb"/>
        <w:spacing w:before="0" w:beforeAutospacing="0" w:after="0" w:afterAutospacing="0"/>
        <w:rPr>
          <w:rFonts w:ascii="Tahoma" w:hAnsi="Tahoma" w:cs="Tahoma"/>
          <w:b/>
          <w:sz w:val="22"/>
          <w:szCs w:val="22"/>
        </w:rPr>
      </w:pPr>
      <w:r w:rsidRPr="00E924E2">
        <w:rPr>
          <w:rFonts w:ascii="Tahoma" w:hAnsi="Tahoma" w:cs="Tahoma"/>
          <w:b/>
          <w:sz w:val="22"/>
          <w:szCs w:val="22"/>
        </w:rPr>
        <w:t xml:space="preserve">Gastos de Funcionamiento / Ingresos Corriente Libre Destinación </w:t>
      </w:r>
    </w:p>
    <w:p w:rsidR="00C47D9E" w:rsidRDefault="00C47D9E" w:rsidP="00741448">
      <w:pPr>
        <w:pStyle w:val="NormalWeb"/>
        <w:spacing w:before="0" w:beforeAutospacing="0" w:after="0" w:afterAutospacing="0"/>
        <w:rPr>
          <w:rFonts w:ascii="Tahoma" w:hAnsi="Tahoma" w:cs="Tahoma"/>
          <w:b/>
          <w:sz w:val="22"/>
          <w:szCs w:val="22"/>
        </w:rPr>
      </w:pPr>
    </w:p>
    <w:p w:rsidR="00C47D9E" w:rsidRDefault="00C47D9E" w:rsidP="00741448">
      <w:pPr>
        <w:pStyle w:val="NormalWeb"/>
        <w:spacing w:before="0" w:beforeAutospacing="0" w:after="0" w:afterAutospacing="0"/>
      </w:pPr>
    </w:p>
    <w:p w:rsidR="00231ECA" w:rsidRDefault="00231ECA" w:rsidP="00741448">
      <w:pPr>
        <w:pStyle w:val="NormalWeb"/>
        <w:spacing w:before="0" w:beforeAutospacing="0" w:after="0" w:afterAutospacing="0"/>
      </w:pPr>
    </w:p>
    <w:p w:rsidR="00231ECA" w:rsidRDefault="00231ECA" w:rsidP="00741448">
      <w:pPr>
        <w:pStyle w:val="NormalWeb"/>
        <w:spacing w:before="0" w:beforeAutospacing="0" w:after="0" w:afterAutospacing="0"/>
      </w:pPr>
    </w:p>
    <w:p w:rsidR="00231ECA" w:rsidRDefault="00231ECA" w:rsidP="00741448">
      <w:pPr>
        <w:pStyle w:val="NormalWeb"/>
        <w:spacing w:before="0" w:beforeAutospacing="0" w:after="0" w:afterAutospacing="0"/>
      </w:pPr>
    </w:p>
    <w:p w:rsidR="00231ECA" w:rsidRDefault="00231ECA" w:rsidP="00741448">
      <w:pPr>
        <w:shd w:val="clear" w:color="auto" w:fill="EAF5FF"/>
        <w:spacing w:before="0" w:after="0"/>
        <w:jc w:val="center"/>
        <w:rPr>
          <w:rFonts w:eastAsia="Times New Roman"/>
          <w:b/>
          <w:bCs/>
          <w:sz w:val="20"/>
          <w:szCs w:val="20"/>
        </w:rPr>
      </w:pPr>
    </w:p>
    <w:p w:rsidR="00741448" w:rsidRPr="00741448" w:rsidRDefault="00741448" w:rsidP="00741448">
      <w:pPr>
        <w:shd w:val="clear" w:color="auto" w:fill="EAF5FF"/>
        <w:spacing w:before="0" w:after="0"/>
        <w:jc w:val="center"/>
        <w:rPr>
          <w:rFonts w:eastAsia="Times New Roman"/>
          <w:sz w:val="20"/>
          <w:szCs w:val="20"/>
        </w:rPr>
      </w:pPr>
      <w:r w:rsidRPr="00741448">
        <w:rPr>
          <w:rFonts w:eastAsia="Times New Roman"/>
          <w:b/>
          <w:bCs/>
          <w:sz w:val="20"/>
          <w:szCs w:val="20"/>
        </w:rPr>
        <w:t>CONTRALORÍA GENERAL DE LA REPÚBLICA</w:t>
      </w:r>
    </w:p>
    <w:p w:rsidR="00741448" w:rsidRPr="00741448" w:rsidRDefault="00741448" w:rsidP="00741448">
      <w:pPr>
        <w:shd w:val="clear" w:color="auto" w:fill="EAF5FF"/>
        <w:spacing w:before="0" w:after="0"/>
        <w:jc w:val="center"/>
        <w:rPr>
          <w:rFonts w:eastAsia="Times New Roman"/>
          <w:sz w:val="20"/>
          <w:szCs w:val="20"/>
        </w:rPr>
      </w:pPr>
      <w:r w:rsidRPr="00741448">
        <w:rPr>
          <w:rFonts w:eastAsia="Times New Roman"/>
          <w:b/>
          <w:bCs/>
          <w:sz w:val="20"/>
          <w:szCs w:val="20"/>
        </w:rPr>
        <w:t>CONTRALORÍA DELEGADA PARA ECONOMÍA Y FINANZAS PÚBLICAS</w:t>
      </w:r>
    </w:p>
    <w:p w:rsidR="00741448" w:rsidRPr="00741448" w:rsidRDefault="00741448" w:rsidP="00741448">
      <w:pPr>
        <w:shd w:val="clear" w:color="auto" w:fill="EAF5FF"/>
        <w:spacing w:before="0" w:after="0"/>
        <w:jc w:val="center"/>
        <w:rPr>
          <w:rFonts w:eastAsia="Times New Roman"/>
          <w:sz w:val="20"/>
          <w:szCs w:val="20"/>
        </w:rPr>
      </w:pPr>
      <w:r w:rsidRPr="00741448">
        <w:rPr>
          <w:rFonts w:eastAsia="Times New Roman"/>
          <w:b/>
          <w:bCs/>
          <w:sz w:val="20"/>
          <w:szCs w:val="20"/>
        </w:rPr>
        <w:t>DIRECCIÓN DE CUENTAS Y ESTADÍSTICAS FISCALES</w:t>
      </w:r>
    </w:p>
    <w:p w:rsidR="00741448" w:rsidRPr="00741448" w:rsidRDefault="009860D8" w:rsidP="00741448">
      <w:pPr>
        <w:spacing w:before="0" w:after="0"/>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v:rect id="_x0000_i1025" style="width:0;height:1.2pt" o:hralign="center" o:hrstd="t" o:hrnoshade="t" o:hr="t" fillcolor="black" stroked="f"/>
        </w:pict>
      </w:r>
    </w:p>
    <w:tbl>
      <w:tblPr>
        <w:tblW w:w="8536" w:type="dxa"/>
        <w:jc w:val="center"/>
        <w:tblCellSpacing w:w="15" w:type="dxa"/>
        <w:shd w:val="clear" w:color="auto" w:fill="EAF5FF"/>
        <w:tblCellMar>
          <w:top w:w="15" w:type="dxa"/>
          <w:left w:w="15" w:type="dxa"/>
          <w:bottom w:w="15" w:type="dxa"/>
          <w:right w:w="15" w:type="dxa"/>
        </w:tblCellMar>
        <w:tblLook w:val="04A0" w:firstRow="1" w:lastRow="0" w:firstColumn="1" w:lastColumn="0" w:noHBand="0" w:noVBand="1"/>
      </w:tblPr>
      <w:tblGrid>
        <w:gridCol w:w="8536"/>
      </w:tblGrid>
      <w:tr w:rsidR="00741448" w:rsidRPr="00741448" w:rsidTr="00174209">
        <w:trPr>
          <w:tblCellSpacing w:w="15" w:type="dxa"/>
          <w:jc w:val="center"/>
        </w:trPr>
        <w:tc>
          <w:tcPr>
            <w:tcW w:w="0" w:type="auto"/>
            <w:shd w:val="clear" w:color="auto" w:fill="EAF5FF"/>
            <w:vAlign w:val="center"/>
            <w:hideMark/>
          </w:tcPr>
          <w:p w:rsidR="00741448" w:rsidRPr="00741448" w:rsidRDefault="00741448" w:rsidP="00174209">
            <w:pPr>
              <w:rPr>
                <w:rFonts w:eastAsia="Times New Roman"/>
                <w:color w:val="auto"/>
                <w:sz w:val="18"/>
                <w:szCs w:val="18"/>
              </w:rPr>
            </w:pPr>
          </w:p>
        </w:tc>
      </w:tr>
      <w:tr w:rsidR="00741448" w:rsidRPr="00741448" w:rsidTr="00174209">
        <w:trPr>
          <w:tblCellSpacing w:w="15" w:type="dxa"/>
          <w:jc w:val="center"/>
        </w:trPr>
        <w:tc>
          <w:tcPr>
            <w:tcW w:w="0" w:type="auto"/>
            <w:shd w:val="clear" w:color="auto" w:fill="EAF5FF"/>
            <w:vAlign w:val="center"/>
            <w:hideMark/>
          </w:tcPr>
          <w:tbl>
            <w:tblPr>
              <w:tblW w:w="8400" w:type="dxa"/>
              <w:jc w:val="center"/>
              <w:tblCellSpacing w:w="0" w:type="dxa"/>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4020"/>
              <w:gridCol w:w="4380"/>
            </w:tblGrid>
            <w:tr w:rsidR="00741448" w:rsidRPr="00741448">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Departamento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TOLIMA</w:t>
                  </w:r>
                </w:p>
              </w:tc>
            </w:tr>
            <w:tr w:rsidR="00741448" w:rsidRPr="00741448">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Nombre Municipio o Departamento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210873408 - LÉRIDA</w:t>
                  </w:r>
                </w:p>
              </w:tc>
            </w:tr>
            <w:tr w:rsidR="00741448" w:rsidRPr="00741448">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Vigencia</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2015</w:t>
                  </w:r>
                </w:p>
              </w:tc>
            </w:tr>
            <w:tr w:rsidR="00741448" w:rsidRPr="00741448">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Categoría</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Sexta</w:t>
                  </w:r>
                </w:p>
              </w:tc>
            </w:tr>
            <w:tr w:rsidR="00741448" w:rsidRPr="00741448">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Límite del Gasto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80%</w:t>
                  </w:r>
                </w:p>
              </w:tc>
            </w:tr>
            <w:tr w:rsidR="00741448" w:rsidRPr="00741448">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Descripción sobre la Certificación</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Procede la Certificación de la Entidad.</w:t>
                  </w:r>
                </w:p>
              </w:tc>
            </w:tr>
          </w:tbl>
          <w:p w:rsidR="00741448" w:rsidRPr="00741448" w:rsidRDefault="00741448" w:rsidP="00741448">
            <w:pPr>
              <w:spacing w:before="0" w:after="0"/>
              <w:jc w:val="center"/>
              <w:rPr>
                <w:rFonts w:eastAsia="Times New Roman"/>
                <w:color w:val="auto"/>
                <w:sz w:val="18"/>
                <w:szCs w:val="18"/>
              </w:rPr>
            </w:pPr>
          </w:p>
        </w:tc>
      </w:tr>
    </w:tbl>
    <w:p w:rsidR="004A698D" w:rsidRDefault="004A698D" w:rsidP="00741448">
      <w:pPr>
        <w:spacing w:before="0" w:after="0"/>
        <w:rPr>
          <w:rFonts w:eastAsia="Times New Roman"/>
          <w:b/>
          <w:bCs/>
          <w:sz w:val="18"/>
          <w:szCs w:val="18"/>
          <w:shd w:val="clear" w:color="auto" w:fill="EAF5FF"/>
        </w:rPr>
      </w:pPr>
    </w:p>
    <w:p w:rsidR="00741448" w:rsidRDefault="00741448" w:rsidP="00741448">
      <w:pPr>
        <w:spacing w:before="0" w:after="0"/>
        <w:rPr>
          <w:rFonts w:eastAsia="Times New Roman"/>
          <w:b/>
          <w:bCs/>
          <w:sz w:val="18"/>
          <w:szCs w:val="18"/>
          <w:shd w:val="clear" w:color="auto" w:fill="EAF5FF"/>
        </w:rPr>
      </w:pPr>
      <w:r w:rsidRPr="00741448">
        <w:rPr>
          <w:rFonts w:eastAsia="Times New Roman"/>
          <w:b/>
          <w:bCs/>
          <w:sz w:val="18"/>
          <w:szCs w:val="18"/>
          <w:shd w:val="clear" w:color="auto" w:fill="EAF5FF"/>
        </w:rPr>
        <w:t>Ingresos Corrientes de Libre Destinación (ICLD)</w:t>
      </w:r>
    </w:p>
    <w:tbl>
      <w:tblPr>
        <w:tblW w:w="8536" w:type="dxa"/>
        <w:jc w:val="center"/>
        <w:tblCellSpacing w:w="6" w:type="dxa"/>
        <w:tblBorders>
          <w:top w:val="outset" w:sz="6" w:space="0" w:color="auto"/>
          <w:left w:val="outset" w:sz="6" w:space="0" w:color="auto"/>
          <w:bottom w:val="outset" w:sz="6" w:space="0" w:color="auto"/>
          <w:right w:val="outset" w:sz="6" w:space="0" w:color="auto"/>
        </w:tblBorders>
        <w:shd w:val="clear" w:color="auto" w:fill="EAF5FF"/>
        <w:tblCellMar>
          <w:top w:w="15" w:type="dxa"/>
          <w:left w:w="15" w:type="dxa"/>
          <w:bottom w:w="15" w:type="dxa"/>
          <w:right w:w="15" w:type="dxa"/>
        </w:tblCellMar>
        <w:tblLook w:val="04A0" w:firstRow="1" w:lastRow="0" w:firstColumn="1" w:lastColumn="0" w:noHBand="0" w:noVBand="1"/>
      </w:tblPr>
      <w:tblGrid>
        <w:gridCol w:w="1899"/>
        <w:gridCol w:w="5384"/>
        <w:gridCol w:w="1235"/>
        <w:gridCol w:w="18"/>
      </w:tblGrid>
      <w:tr w:rsidR="00741448" w:rsidRPr="00741448" w:rsidTr="00231ECA">
        <w:trPr>
          <w:gridAfter w:val="1"/>
          <w:trHeight w:val="403"/>
          <w:tblCellSpacing w:w="6" w:type="dxa"/>
          <w:jc w:val="center"/>
        </w:trPr>
        <w:tc>
          <w:tcPr>
            <w:tcW w:w="1881" w:type="dxa"/>
            <w:tcBorders>
              <w:top w:val="outset" w:sz="6" w:space="0" w:color="auto"/>
              <w:left w:val="outset" w:sz="6" w:space="0" w:color="auto"/>
              <w:bottom w:val="outset" w:sz="6" w:space="0" w:color="auto"/>
              <w:right w:val="outset" w:sz="6" w:space="0" w:color="auto"/>
            </w:tcBorders>
            <w:shd w:val="clear" w:color="auto" w:fill="EAF5FF"/>
            <w:vAlign w:val="center"/>
            <w:hideMark/>
          </w:tcPr>
          <w:p w:rsidR="00741448" w:rsidRPr="00741448" w:rsidRDefault="00741448" w:rsidP="00741448">
            <w:pPr>
              <w:spacing w:before="0" w:after="0"/>
              <w:jc w:val="center"/>
              <w:rPr>
                <w:rFonts w:eastAsia="Times New Roman"/>
                <w:color w:val="auto"/>
                <w:sz w:val="18"/>
                <w:szCs w:val="18"/>
              </w:rPr>
            </w:pPr>
            <w:r w:rsidRPr="00741448">
              <w:rPr>
                <w:rFonts w:eastAsia="Times New Roman"/>
                <w:b/>
                <w:bCs/>
                <w:color w:val="auto"/>
                <w:sz w:val="18"/>
                <w:szCs w:val="18"/>
              </w:rPr>
              <w:t>Concepto</w:t>
            </w:r>
          </w:p>
        </w:tc>
        <w:tc>
          <w:tcPr>
            <w:tcW w:w="5103" w:type="dxa"/>
            <w:tcBorders>
              <w:top w:val="outset" w:sz="6" w:space="0" w:color="auto"/>
              <w:left w:val="outset" w:sz="6" w:space="0" w:color="auto"/>
              <w:bottom w:val="outset" w:sz="6" w:space="0" w:color="auto"/>
              <w:right w:val="outset" w:sz="6" w:space="0" w:color="auto"/>
            </w:tcBorders>
            <w:shd w:val="clear" w:color="auto" w:fill="EAF5FF"/>
            <w:vAlign w:val="center"/>
            <w:hideMark/>
          </w:tcPr>
          <w:p w:rsidR="00741448" w:rsidRPr="00741448" w:rsidRDefault="00741448" w:rsidP="00741448">
            <w:pPr>
              <w:spacing w:before="0" w:after="0"/>
              <w:jc w:val="center"/>
              <w:rPr>
                <w:rFonts w:eastAsia="Times New Roman"/>
                <w:color w:val="auto"/>
                <w:sz w:val="18"/>
                <w:szCs w:val="18"/>
              </w:rPr>
            </w:pPr>
            <w:r w:rsidRPr="00741448">
              <w:rPr>
                <w:rFonts w:eastAsia="Times New Roman"/>
                <w:b/>
                <w:bCs/>
                <w:color w:val="auto"/>
                <w:sz w:val="18"/>
                <w:szCs w:val="18"/>
              </w:rPr>
              <w:t>Descripción</w:t>
            </w:r>
          </w:p>
        </w:tc>
        <w:tc>
          <w:tcPr>
            <w:tcW w:w="1434" w:type="dxa"/>
            <w:tcBorders>
              <w:top w:val="outset" w:sz="6" w:space="0" w:color="auto"/>
              <w:left w:val="outset" w:sz="6" w:space="0" w:color="auto"/>
              <w:bottom w:val="outset" w:sz="6" w:space="0" w:color="auto"/>
              <w:right w:val="outset" w:sz="6" w:space="0" w:color="auto"/>
            </w:tcBorders>
            <w:shd w:val="clear" w:color="auto" w:fill="EAF5FF"/>
            <w:vAlign w:val="center"/>
            <w:hideMark/>
          </w:tcPr>
          <w:p w:rsidR="00741448" w:rsidRPr="00741448" w:rsidRDefault="00741448" w:rsidP="00741448">
            <w:pPr>
              <w:spacing w:before="0" w:after="0"/>
              <w:jc w:val="center"/>
              <w:rPr>
                <w:rFonts w:eastAsia="Times New Roman"/>
                <w:color w:val="auto"/>
                <w:sz w:val="18"/>
                <w:szCs w:val="18"/>
              </w:rPr>
            </w:pPr>
            <w:r w:rsidRPr="00741448">
              <w:rPr>
                <w:rFonts w:eastAsia="Times New Roman"/>
                <w:b/>
                <w:bCs/>
                <w:color w:val="auto"/>
                <w:sz w:val="18"/>
                <w:szCs w:val="18"/>
              </w:rPr>
              <w:t>Ejecución (Miles de Pesos)</w:t>
            </w:r>
          </w:p>
        </w:tc>
      </w:tr>
      <w:tr w:rsidR="00741448" w:rsidRPr="00741448" w:rsidTr="00231ECA">
        <w:trPr>
          <w:gridAfter w:val="1"/>
          <w:trHeight w:val="20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1.1.01.01.34</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Circulación y Tránsito por Transporte Público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741448" w:rsidRPr="00741448" w:rsidRDefault="00741448" w:rsidP="00741448">
            <w:pPr>
              <w:spacing w:before="0" w:after="0"/>
              <w:jc w:val="right"/>
              <w:rPr>
                <w:rFonts w:eastAsia="Times New Roman"/>
                <w:color w:val="auto"/>
                <w:sz w:val="18"/>
                <w:szCs w:val="18"/>
              </w:rPr>
            </w:pPr>
            <w:r w:rsidRPr="00741448">
              <w:rPr>
                <w:rFonts w:eastAsia="Times New Roman"/>
                <w:color w:val="auto"/>
                <w:sz w:val="18"/>
                <w:szCs w:val="18"/>
              </w:rPr>
              <w:t>20.206</w:t>
            </w:r>
          </w:p>
        </w:tc>
      </w:tr>
      <w:tr w:rsidR="00741448" w:rsidRPr="00741448" w:rsidTr="00231ECA">
        <w:trPr>
          <w:gridAfter w:val="1"/>
          <w:trHeight w:val="213"/>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1.1.01.01.40</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Predial Unificado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741448" w:rsidRPr="00741448" w:rsidRDefault="00741448" w:rsidP="00741448">
            <w:pPr>
              <w:spacing w:before="0" w:after="0"/>
              <w:jc w:val="right"/>
              <w:rPr>
                <w:rFonts w:eastAsia="Times New Roman"/>
                <w:color w:val="auto"/>
                <w:sz w:val="18"/>
                <w:szCs w:val="18"/>
              </w:rPr>
            </w:pPr>
            <w:r w:rsidRPr="00741448">
              <w:rPr>
                <w:rFonts w:eastAsia="Times New Roman"/>
                <w:color w:val="auto"/>
                <w:sz w:val="18"/>
                <w:szCs w:val="18"/>
              </w:rPr>
              <w:t>1.098.276</w:t>
            </w:r>
          </w:p>
        </w:tc>
      </w:tr>
      <w:tr w:rsidR="00741448" w:rsidRPr="00741448" w:rsidTr="00231ECA">
        <w:trPr>
          <w:gridAfter w:val="1"/>
          <w:trHeight w:val="20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1.1.01.02.39</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Industria y Comercio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741448" w:rsidRPr="00741448" w:rsidRDefault="00741448" w:rsidP="00741448">
            <w:pPr>
              <w:spacing w:before="0" w:after="0"/>
              <w:jc w:val="right"/>
              <w:rPr>
                <w:rFonts w:eastAsia="Times New Roman"/>
                <w:color w:val="auto"/>
                <w:sz w:val="18"/>
                <w:szCs w:val="18"/>
              </w:rPr>
            </w:pPr>
            <w:r w:rsidRPr="00741448">
              <w:rPr>
                <w:rFonts w:eastAsia="Times New Roman"/>
                <w:color w:val="auto"/>
                <w:sz w:val="18"/>
                <w:szCs w:val="18"/>
              </w:rPr>
              <w:t>840.644</w:t>
            </w:r>
          </w:p>
        </w:tc>
      </w:tr>
      <w:tr w:rsidR="00741448" w:rsidRPr="00741448" w:rsidTr="00231ECA">
        <w:trPr>
          <w:gridAfter w:val="1"/>
          <w:trHeight w:val="20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1.1.01.02.45</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Avisos y Tableros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741448" w:rsidRPr="00741448" w:rsidRDefault="00741448" w:rsidP="00741448">
            <w:pPr>
              <w:spacing w:before="0" w:after="0"/>
              <w:jc w:val="right"/>
              <w:rPr>
                <w:rFonts w:eastAsia="Times New Roman"/>
                <w:color w:val="auto"/>
                <w:sz w:val="18"/>
                <w:szCs w:val="18"/>
              </w:rPr>
            </w:pPr>
            <w:r w:rsidRPr="00741448">
              <w:rPr>
                <w:rFonts w:eastAsia="Times New Roman"/>
                <w:color w:val="auto"/>
                <w:sz w:val="18"/>
                <w:szCs w:val="18"/>
              </w:rPr>
              <w:t>87.280</w:t>
            </w:r>
          </w:p>
        </w:tc>
      </w:tr>
      <w:tr w:rsidR="00741448" w:rsidRPr="00741448" w:rsidTr="00231ECA">
        <w:trPr>
          <w:gridAfter w:val="1"/>
          <w:trHeight w:val="20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1.1.01.02.47</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Publicidad Exterior Visual</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741448" w:rsidRPr="00741448" w:rsidRDefault="00741448" w:rsidP="00741448">
            <w:pPr>
              <w:spacing w:before="0" w:after="0"/>
              <w:jc w:val="right"/>
              <w:rPr>
                <w:rFonts w:eastAsia="Times New Roman"/>
                <w:color w:val="auto"/>
                <w:sz w:val="18"/>
                <w:szCs w:val="18"/>
              </w:rPr>
            </w:pPr>
            <w:r w:rsidRPr="00741448">
              <w:rPr>
                <w:rFonts w:eastAsia="Times New Roman"/>
                <w:color w:val="auto"/>
                <w:sz w:val="18"/>
                <w:szCs w:val="18"/>
              </w:rPr>
              <w:t>407</w:t>
            </w:r>
          </w:p>
        </w:tc>
      </w:tr>
      <w:tr w:rsidR="00741448" w:rsidRPr="00741448" w:rsidTr="00231ECA">
        <w:trPr>
          <w:gridAfter w:val="1"/>
          <w:trHeight w:val="213"/>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1.1.01.02.53</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Impuesto de Ocupación de Vías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741448" w:rsidRPr="00741448" w:rsidRDefault="00741448" w:rsidP="00741448">
            <w:pPr>
              <w:spacing w:before="0" w:after="0"/>
              <w:jc w:val="right"/>
              <w:rPr>
                <w:rFonts w:eastAsia="Times New Roman"/>
                <w:color w:val="auto"/>
                <w:sz w:val="18"/>
                <w:szCs w:val="18"/>
              </w:rPr>
            </w:pPr>
            <w:r w:rsidRPr="00741448">
              <w:rPr>
                <w:rFonts w:eastAsia="Times New Roman"/>
                <w:color w:val="auto"/>
                <w:sz w:val="18"/>
                <w:szCs w:val="18"/>
              </w:rPr>
              <w:t>5.796</w:t>
            </w:r>
          </w:p>
        </w:tc>
      </w:tr>
      <w:tr w:rsidR="00741448" w:rsidRPr="00741448" w:rsidTr="00231ECA">
        <w:trPr>
          <w:gridAfter w:val="1"/>
          <w:trHeight w:val="20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1.1.01.02.61.01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Sobretasa Consumo Gasolina Motor Libre Destinación</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741448" w:rsidRPr="00741448" w:rsidRDefault="00741448" w:rsidP="00741448">
            <w:pPr>
              <w:spacing w:before="0" w:after="0"/>
              <w:jc w:val="right"/>
              <w:rPr>
                <w:rFonts w:eastAsia="Times New Roman"/>
                <w:color w:val="auto"/>
                <w:sz w:val="18"/>
                <w:szCs w:val="18"/>
              </w:rPr>
            </w:pPr>
            <w:r w:rsidRPr="00741448">
              <w:rPr>
                <w:rFonts w:eastAsia="Times New Roman"/>
                <w:color w:val="auto"/>
                <w:sz w:val="18"/>
                <w:szCs w:val="18"/>
              </w:rPr>
              <w:t>474.529</w:t>
            </w:r>
          </w:p>
        </w:tc>
      </w:tr>
      <w:tr w:rsidR="00741448" w:rsidRPr="00741448" w:rsidTr="00231ECA">
        <w:trPr>
          <w:gridAfter w:val="1"/>
          <w:trHeight w:val="20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1.1.01.02.65</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Alumbrado Público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741448" w:rsidRPr="00741448" w:rsidRDefault="00741448" w:rsidP="00741448">
            <w:pPr>
              <w:spacing w:before="0" w:after="0"/>
              <w:jc w:val="right"/>
              <w:rPr>
                <w:rFonts w:eastAsia="Times New Roman"/>
                <w:color w:val="auto"/>
                <w:sz w:val="18"/>
                <w:szCs w:val="18"/>
              </w:rPr>
            </w:pPr>
            <w:r w:rsidRPr="00741448">
              <w:rPr>
                <w:rFonts w:eastAsia="Times New Roman"/>
                <w:color w:val="auto"/>
                <w:sz w:val="18"/>
                <w:szCs w:val="18"/>
              </w:rPr>
              <w:t>773.604</w:t>
            </w:r>
          </w:p>
        </w:tc>
      </w:tr>
      <w:tr w:rsidR="00741448" w:rsidRPr="00741448" w:rsidTr="00231ECA">
        <w:trPr>
          <w:gridAfter w:val="1"/>
          <w:trHeight w:val="20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1.1.01.02.69</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Registro de Marcas y Herretes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741448" w:rsidRPr="00741448" w:rsidRDefault="00741448" w:rsidP="00741448">
            <w:pPr>
              <w:spacing w:before="0" w:after="0"/>
              <w:jc w:val="right"/>
              <w:rPr>
                <w:rFonts w:eastAsia="Times New Roman"/>
                <w:color w:val="auto"/>
                <w:sz w:val="18"/>
                <w:szCs w:val="18"/>
              </w:rPr>
            </w:pPr>
            <w:r w:rsidRPr="00741448">
              <w:rPr>
                <w:rFonts w:eastAsia="Times New Roman"/>
                <w:color w:val="auto"/>
                <w:sz w:val="18"/>
                <w:szCs w:val="18"/>
              </w:rPr>
              <w:t>1.244</w:t>
            </w:r>
          </w:p>
        </w:tc>
      </w:tr>
      <w:tr w:rsidR="00741448" w:rsidRPr="00741448" w:rsidTr="00231ECA">
        <w:trPr>
          <w:gridAfter w:val="1"/>
          <w:trHeight w:val="213"/>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1.1.02.01.01.09</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Plaza de Mercado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741448" w:rsidRPr="00741448" w:rsidRDefault="00741448" w:rsidP="00741448">
            <w:pPr>
              <w:spacing w:before="0" w:after="0"/>
              <w:jc w:val="right"/>
              <w:rPr>
                <w:rFonts w:eastAsia="Times New Roman"/>
                <w:color w:val="auto"/>
                <w:sz w:val="18"/>
                <w:szCs w:val="18"/>
              </w:rPr>
            </w:pPr>
            <w:r w:rsidRPr="00741448">
              <w:rPr>
                <w:rFonts w:eastAsia="Times New Roman"/>
                <w:color w:val="auto"/>
                <w:sz w:val="18"/>
                <w:szCs w:val="18"/>
              </w:rPr>
              <w:t>23.795</w:t>
            </w:r>
          </w:p>
        </w:tc>
      </w:tr>
      <w:tr w:rsidR="00741448" w:rsidRPr="00741448" w:rsidTr="00231ECA">
        <w:trPr>
          <w:gridAfter w:val="1"/>
          <w:trHeight w:val="20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1.1.02.01.01.17</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Licencias y Patentes de Funcionamiento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741448" w:rsidRPr="00741448" w:rsidRDefault="00741448" w:rsidP="00741448">
            <w:pPr>
              <w:spacing w:before="0" w:after="0"/>
              <w:jc w:val="right"/>
              <w:rPr>
                <w:rFonts w:eastAsia="Times New Roman"/>
                <w:color w:val="auto"/>
                <w:sz w:val="18"/>
                <w:szCs w:val="18"/>
              </w:rPr>
            </w:pPr>
            <w:r w:rsidRPr="00741448">
              <w:rPr>
                <w:rFonts w:eastAsia="Times New Roman"/>
                <w:color w:val="auto"/>
                <w:sz w:val="18"/>
                <w:szCs w:val="18"/>
              </w:rPr>
              <w:t>44.233</w:t>
            </w:r>
          </w:p>
        </w:tc>
      </w:tr>
      <w:tr w:rsidR="00741448" w:rsidRPr="00741448" w:rsidTr="00231ECA">
        <w:trPr>
          <w:gridAfter w:val="1"/>
          <w:trHeight w:val="20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1.1.02.01.01.19</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Expedición de Certificados y Paz y Salvos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741448" w:rsidRPr="00741448" w:rsidRDefault="00741448" w:rsidP="00741448">
            <w:pPr>
              <w:spacing w:before="0" w:after="0"/>
              <w:jc w:val="right"/>
              <w:rPr>
                <w:rFonts w:eastAsia="Times New Roman"/>
                <w:color w:val="auto"/>
                <w:sz w:val="18"/>
                <w:szCs w:val="18"/>
              </w:rPr>
            </w:pPr>
            <w:r w:rsidRPr="00741448">
              <w:rPr>
                <w:rFonts w:eastAsia="Times New Roman"/>
                <w:color w:val="auto"/>
                <w:sz w:val="18"/>
                <w:szCs w:val="18"/>
              </w:rPr>
              <w:t>11.575</w:t>
            </w:r>
          </w:p>
        </w:tc>
      </w:tr>
      <w:tr w:rsidR="00741448" w:rsidRPr="00741448" w:rsidTr="00231ECA">
        <w:trPr>
          <w:gridAfter w:val="1"/>
          <w:trHeight w:val="20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1.1.02.01.01.33</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Almotacen</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741448" w:rsidRPr="00741448" w:rsidRDefault="00741448" w:rsidP="00741448">
            <w:pPr>
              <w:spacing w:before="0" w:after="0"/>
              <w:jc w:val="right"/>
              <w:rPr>
                <w:rFonts w:eastAsia="Times New Roman"/>
                <w:color w:val="auto"/>
                <w:sz w:val="18"/>
                <w:szCs w:val="18"/>
              </w:rPr>
            </w:pPr>
            <w:r w:rsidRPr="00741448">
              <w:rPr>
                <w:rFonts w:eastAsia="Times New Roman"/>
                <w:color w:val="auto"/>
                <w:sz w:val="18"/>
                <w:szCs w:val="18"/>
              </w:rPr>
              <w:t>5.957</w:t>
            </w:r>
          </w:p>
        </w:tc>
      </w:tr>
      <w:tr w:rsidR="00741448" w:rsidRPr="00741448" w:rsidTr="00231ECA">
        <w:trPr>
          <w:gridAfter w:val="1"/>
          <w:trHeight w:val="213"/>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1.1.02.01.01.98</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Otras Tasas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741448" w:rsidRPr="00741448" w:rsidRDefault="00741448" w:rsidP="00741448">
            <w:pPr>
              <w:spacing w:before="0" w:after="0"/>
              <w:jc w:val="right"/>
              <w:rPr>
                <w:rFonts w:eastAsia="Times New Roman"/>
                <w:color w:val="auto"/>
                <w:sz w:val="18"/>
                <w:szCs w:val="18"/>
              </w:rPr>
            </w:pPr>
            <w:r w:rsidRPr="00741448">
              <w:rPr>
                <w:rFonts w:eastAsia="Times New Roman"/>
                <w:color w:val="auto"/>
                <w:sz w:val="18"/>
                <w:szCs w:val="18"/>
              </w:rPr>
              <w:t>17.119</w:t>
            </w:r>
          </w:p>
        </w:tc>
      </w:tr>
      <w:tr w:rsidR="00741448" w:rsidRPr="00741448" w:rsidTr="00231ECA">
        <w:trPr>
          <w:gridAfter w:val="1"/>
          <w:trHeight w:val="20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1.1.02.01.03.98</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Otras Multas y Sanciones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741448" w:rsidRPr="00741448" w:rsidRDefault="00741448" w:rsidP="00741448">
            <w:pPr>
              <w:spacing w:before="0" w:after="0"/>
              <w:jc w:val="right"/>
              <w:rPr>
                <w:rFonts w:eastAsia="Times New Roman"/>
                <w:color w:val="auto"/>
                <w:sz w:val="18"/>
                <w:szCs w:val="18"/>
              </w:rPr>
            </w:pPr>
            <w:r w:rsidRPr="00741448">
              <w:rPr>
                <w:rFonts w:eastAsia="Times New Roman"/>
                <w:color w:val="auto"/>
                <w:sz w:val="18"/>
                <w:szCs w:val="18"/>
              </w:rPr>
              <w:t>621</w:t>
            </w:r>
          </w:p>
        </w:tc>
      </w:tr>
      <w:tr w:rsidR="00741448" w:rsidRPr="00741448" w:rsidTr="00231ECA">
        <w:trPr>
          <w:gridAfter w:val="1"/>
          <w:trHeight w:val="415"/>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1.1.02.02.01.01.01.01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Sistema General de Participaciones Propósito General Libre Destinación</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741448" w:rsidRPr="00741448" w:rsidRDefault="00741448" w:rsidP="00741448">
            <w:pPr>
              <w:spacing w:before="0" w:after="0"/>
              <w:jc w:val="right"/>
              <w:rPr>
                <w:rFonts w:eastAsia="Times New Roman"/>
                <w:color w:val="auto"/>
                <w:sz w:val="18"/>
                <w:szCs w:val="18"/>
              </w:rPr>
            </w:pPr>
            <w:r w:rsidRPr="00741448">
              <w:rPr>
                <w:rFonts w:eastAsia="Times New Roman"/>
                <w:color w:val="auto"/>
                <w:sz w:val="18"/>
                <w:szCs w:val="18"/>
              </w:rPr>
              <w:t>805.012</w:t>
            </w:r>
          </w:p>
        </w:tc>
      </w:tr>
      <w:tr w:rsidR="00741448" w:rsidRPr="00741448" w:rsidTr="00231ECA">
        <w:trPr>
          <w:gridAfter w:val="1"/>
          <w:trHeight w:val="20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t> </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741448" w:rsidRPr="00741448" w:rsidRDefault="00741448" w:rsidP="00741448">
            <w:pPr>
              <w:spacing w:before="0" w:after="0"/>
              <w:jc w:val="center"/>
              <w:rPr>
                <w:rFonts w:eastAsia="Times New Roman"/>
                <w:color w:val="auto"/>
                <w:sz w:val="18"/>
                <w:szCs w:val="18"/>
              </w:rPr>
            </w:pPr>
            <w:r w:rsidRPr="00741448">
              <w:rPr>
                <w:rFonts w:eastAsia="Times New Roman"/>
                <w:b/>
                <w:bCs/>
                <w:color w:val="auto"/>
                <w:sz w:val="18"/>
                <w:szCs w:val="18"/>
              </w:rPr>
              <w:t>TOTAL ICLD</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741448" w:rsidRPr="00741448" w:rsidRDefault="00741448" w:rsidP="00741448">
            <w:pPr>
              <w:spacing w:before="0" w:after="0"/>
              <w:jc w:val="right"/>
              <w:rPr>
                <w:rFonts w:eastAsia="Times New Roman"/>
                <w:color w:val="auto"/>
                <w:sz w:val="18"/>
                <w:szCs w:val="18"/>
              </w:rPr>
            </w:pPr>
            <w:r w:rsidRPr="00741448">
              <w:rPr>
                <w:rFonts w:eastAsia="Times New Roman"/>
                <w:b/>
                <w:bCs/>
                <w:color w:val="auto"/>
                <w:sz w:val="18"/>
                <w:szCs w:val="18"/>
              </w:rPr>
              <w:t>4.210.298</w:t>
            </w:r>
          </w:p>
        </w:tc>
      </w:tr>
      <w:tr w:rsidR="00741448" w:rsidRPr="00741448" w:rsidTr="00231ECA">
        <w:trPr>
          <w:gridAfter w:val="1"/>
          <w:trHeight w:val="201"/>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741448" w:rsidRPr="00741448" w:rsidRDefault="00741448" w:rsidP="00741448">
            <w:pPr>
              <w:spacing w:before="0" w:after="0"/>
              <w:rPr>
                <w:rFonts w:eastAsia="Times New Roman"/>
                <w:color w:val="auto"/>
                <w:sz w:val="18"/>
                <w:szCs w:val="18"/>
              </w:rPr>
            </w:pPr>
            <w:r w:rsidRPr="00741448">
              <w:rPr>
                <w:rFonts w:eastAsia="Times New Roman"/>
                <w:color w:val="auto"/>
                <w:sz w:val="18"/>
                <w:szCs w:val="18"/>
              </w:rPr>
              <w:lastRenderedPageBreak/>
              <w:t> </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741448" w:rsidRPr="00741448" w:rsidRDefault="00741448" w:rsidP="00741448">
            <w:pPr>
              <w:spacing w:before="0" w:after="0"/>
              <w:jc w:val="center"/>
              <w:rPr>
                <w:rFonts w:eastAsia="Times New Roman"/>
                <w:color w:val="auto"/>
                <w:sz w:val="18"/>
                <w:szCs w:val="18"/>
              </w:rPr>
            </w:pPr>
            <w:r w:rsidRPr="00741448">
              <w:rPr>
                <w:rFonts w:eastAsia="Times New Roman"/>
                <w:b/>
                <w:bCs/>
                <w:color w:val="auto"/>
                <w:sz w:val="18"/>
                <w:szCs w:val="18"/>
              </w:rPr>
              <w:t>TOTAL ICLD NETO*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741448" w:rsidRPr="00741448" w:rsidRDefault="00741448" w:rsidP="00741448">
            <w:pPr>
              <w:spacing w:before="0" w:after="0"/>
              <w:jc w:val="right"/>
              <w:rPr>
                <w:rFonts w:eastAsia="Times New Roman"/>
                <w:color w:val="auto"/>
                <w:sz w:val="18"/>
                <w:szCs w:val="18"/>
              </w:rPr>
            </w:pPr>
            <w:r w:rsidRPr="00741448">
              <w:rPr>
                <w:rFonts w:eastAsia="Times New Roman"/>
                <w:b/>
                <w:bCs/>
                <w:color w:val="auto"/>
                <w:sz w:val="18"/>
                <w:szCs w:val="18"/>
              </w:rPr>
              <w:t>4.210.298</w:t>
            </w:r>
          </w:p>
        </w:tc>
      </w:tr>
      <w:tr w:rsidR="0065485A" w:rsidTr="00231ECA">
        <w:tblPrEx>
          <w:tblCellSpacing w:w="15" w:type="dxa"/>
          <w:tblBorders>
            <w:top w:val="none" w:sz="0" w:space="0" w:color="auto"/>
            <w:left w:val="none" w:sz="0" w:space="0" w:color="auto"/>
            <w:bottom w:val="none" w:sz="0" w:space="0" w:color="auto"/>
            <w:right w:val="none" w:sz="0" w:space="0" w:color="auto"/>
          </w:tblBorders>
        </w:tblPrEx>
        <w:trPr>
          <w:tblCellSpacing w:w="15" w:type="dxa"/>
          <w:jc w:val="center"/>
        </w:trPr>
        <w:tc>
          <w:tcPr>
            <w:tcW w:w="0" w:type="auto"/>
            <w:gridSpan w:val="4"/>
            <w:shd w:val="clear" w:color="auto" w:fill="EAF5FF"/>
            <w:vAlign w:val="center"/>
            <w:hideMark/>
          </w:tcPr>
          <w:p w:rsidR="0065485A" w:rsidRDefault="0065485A">
            <w:pPr>
              <w:jc w:val="center"/>
              <w:rPr>
                <w:sz w:val="18"/>
                <w:szCs w:val="18"/>
              </w:rPr>
            </w:pPr>
            <w:r>
              <w:rPr>
                <w:b/>
                <w:bCs/>
                <w:sz w:val="18"/>
                <w:szCs w:val="18"/>
              </w:rPr>
              <w:t>Gastos de Funcionamiento Neto (GF)</w:t>
            </w:r>
          </w:p>
          <w:tbl>
            <w:tblPr>
              <w:tblW w:w="8400" w:type="dxa"/>
              <w:jc w:val="center"/>
              <w:tblCellSpacing w:w="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35"/>
              <w:gridCol w:w="4053"/>
              <w:gridCol w:w="2712"/>
            </w:tblGrid>
            <w:tr w:rsidR="0065485A" w:rsidTr="00C12F15">
              <w:trPr>
                <w:tblCellSpacing w:w="6" w:type="dxa"/>
                <w:jc w:val="center"/>
              </w:trPr>
              <w:tc>
                <w:tcPr>
                  <w:tcW w:w="1617" w:type="dxa"/>
                  <w:tcBorders>
                    <w:top w:val="outset" w:sz="6" w:space="0" w:color="auto"/>
                    <w:left w:val="outset" w:sz="6" w:space="0" w:color="auto"/>
                    <w:bottom w:val="outset" w:sz="6" w:space="0" w:color="auto"/>
                    <w:right w:val="outset" w:sz="6" w:space="0" w:color="auto"/>
                  </w:tcBorders>
                  <w:vAlign w:val="center"/>
                  <w:hideMark/>
                </w:tcPr>
                <w:p w:rsidR="0065485A" w:rsidRDefault="0065485A">
                  <w:pPr>
                    <w:jc w:val="center"/>
                    <w:rPr>
                      <w:sz w:val="18"/>
                      <w:szCs w:val="18"/>
                    </w:rPr>
                  </w:pPr>
                  <w:r>
                    <w:rPr>
                      <w:b/>
                      <w:bCs/>
                      <w:sz w:val="18"/>
                      <w:szCs w:val="18"/>
                    </w:rPr>
                    <w:t>Concepto</w:t>
                  </w:r>
                </w:p>
              </w:tc>
              <w:tc>
                <w:tcPr>
                  <w:tcW w:w="4041" w:type="dxa"/>
                  <w:tcBorders>
                    <w:top w:val="outset" w:sz="6" w:space="0" w:color="auto"/>
                    <w:left w:val="outset" w:sz="6" w:space="0" w:color="auto"/>
                    <w:bottom w:val="outset" w:sz="6" w:space="0" w:color="auto"/>
                    <w:right w:val="outset" w:sz="6" w:space="0" w:color="auto"/>
                  </w:tcBorders>
                  <w:vAlign w:val="center"/>
                  <w:hideMark/>
                </w:tcPr>
                <w:p w:rsidR="0065485A" w:rsidRDefault="0065485A">
                  <w:pPr>
                    <w:jc w:val="center"/>
                    <w:rPr>
                      <w:sz w:val="18"/>
                      <w:szCs w:val="18"/>
                    </w:rPr>
                  </w:pPr>
                  <w:r>
                    <w:rPr>
                      <w:b/>
                      <w:bCs/>
                      <w:sz w:val="18"/>
                      <w:szCs w:val="18"/>
                    </w:rPr>
                    <w:t>Descripción</w:t>
                  </w:r>
                </w:p>
              </w:tc>
              <w:tc>
                <w:tcPr>
                  <w:tcW w:w="2694" w:type="dxa"/>
                  <w:tcBorders>
                    <w:top w:val="outset" w:sz="6" w:space="0" w:color="auto"/>
                    <w:left w:val="outset" w:sz="6" w:space="0" w:color="auto"/>
                    <w:bottom w:val="outset" w:sz="6" w:space="0" w:color="auto"/>
                    <w:right w:val="outset" w:sz="6" w:space="0" w:color="auto"/>
                  </w:tcBorders>
                  <w:vAlign w:val="center"/>
                  <w:hideMark/>
                </w:tcPr>
                <w:p w:rsidR="0065485A" w:rsidRDefault="0065485A">
                  <w:pPr>
                    <w:jc w:val="center"/>
                    <w:rPr>
                      <w:sz w:val="18"/>
                      <w:szCs w:val="18"/>
                    </w:rPr>
                  </w:pPr>
                  <w:r>
                    <w:rPr>
                      <w:b/>
                      <w:bCs/>
                      <w:sz w:val="18"/>
                      <w:szCs w:val="18"/>
                    </w:rPr>
                    <w:t>Ejecución (Miles de Pesos)</w:t>
                  </w:r>
                </w:p>
              </w:tc>
            </w:tr>
            <w:tr w:rsidR="0065485A">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65485A" w:rsidRDefault="0065485A">
                  <w:pPr>
                    <w:rPr>
                      <w:sz w:val="18"/>
                      <w:szCs w:val="18"/>
                    </w:rPr>
                  </w:pPr>
                  <w:r>
                    <w:rPr>
                      <w:sz w:val="18"/>
                      <w:szCs w:val="18"/>
                    </w:rPr>
                    <w:t>2.1.03</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65485A" w:rsidRDefault="0065485A">
                  <w:pPr>
                    <w:rPr>
                      <w:sz w:val="18"/>
                      <w:szCs w:val="18"/>
                    </w:rPr>
                  </w:pPr>
                  <w:r>
                    <w:rPr>
                      <w:sz w:val="18"/>
                      <w:szCs w:val="18"/>
                    </w:rPr>
                    <w:t>Transferencias Corrientes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65485A" w:rsidRDefault="0065485A">
                  <w:pPr>
                    <w:jc w:val="right"/>
                    <w:rPr>
                      <w:sz w:val="18"/>
                      <w:szCs w:val="18"/>
                    </w:rPr>
                  </w:pPr>
                  <w:r>
                    <w:rPr>
                      <w:sz w:val="18"/>
                      <w:szCs w:val="18"/>
                    </w:rPr>
                    <w:t>1.054.847</w:t>
                  </w:r>
                </w:p>
              </w:tc>
            </w:tr>
            <w:tr w:rsidR="0065485A">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65485A" w:rsidRDefault="0065485A">
                  <w:pPr>
                    <w:rPr>
                      <w:sz w:val="18"/>
                      <w:szCs w:val="18"/>
                    </w:rPr>
                  </w:pPr>
                  <w:r>
                    <w:rPr>
                      <w:sz w:val="18"/>
                      <w:szCs w:val="18"/>
                    </w:rPr>
                    <w:t>2.1.02</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65485A" w:rsidRDefault="0065485A">
                  <w:pPr>
                    <w:rPr>
                      <w:sz w:val="18"/>
                      <w:szCs w:val="18"/>
                    </w:rPr>
                  </w:pPr>
                  <w:r>
                    <w:rPr>
                      <w:sz w:val="18"/>
                      <w:szCs w:val="18"/>
                    </w:rPr>
                    <w:t>Gastos Generales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65485A" w:rsidRDefault="0065485A">
                  <w:pPr>
                    <w:jc w:val="right"/>
                    <w:rPr>
                      <w:sz w:val="18"/>
                      <w:szCs w:val="18"/>
                    </w:rPr>
                  </w:pPr>
                  <w:r>
                    <w:rPr>
                      <w:sz w:val="18"/>
                      <w:szCs w:val="18"/>
                    </w:rPr>
                    <w:t>308.477</w:t>
                  </w:r>
                </w:p>
              </w:tc>
            </w:tr>
            <w:tr w:rsidR="0065485A">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65485A" w:rsidRDefault="0065485A">
                  <w:pPr>
                    <w:rPr>
                      <w:sz w:val="18"/>
                      <w:szCs w:val="18"/>
                    </w:rPr>
                  </w:pPr>
                  <w:r>
                    <w:rPr>
                      <w:sz w:val="18"/>
                      <w:szCs w:val="18"/>
                    </w:rPr>
                    <w:t>2.1.01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65485A" w:rsidRDefault="0065485A">
                  <w:pPr>
                    <w:rPr>
                      <w:sz w:val="18"/>
                      <w:szCs w:val="18"/>
                    </w:rPr>
                  </w:pPr>
                  <w:r>
                    <w:rPr>
                      <w:sz w:val="18"/>
                      <w:szCs w:val="18"/>
                    </w:rPr>
                    <w:t>Gastos de Personal</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65485A" w:rsidRDefault="0065485A">
                  <w:pPr>
                    <w:jc w:val="right"/>
                    <w:rPr>
                      <w:sz w:val="18"/>
                      <w:szCs w:val="18"/>
                    </w:rPr>
                  </w:pPr>
                  <w:r>
                    <w:rPr>
                      <w:sz w:val="18"/>
                      <w:szCs w:val="18"/>
                    </w:rPr>
                    <w:t>1.117.906</w:t>
                  </w:r>
                </w:p>
              </w:tc>
            </w:tr>
            <w:tr w:rsidR="0065485A">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65485A" w:rsidRDefault="0065485A">
                  <w:pPr>
                    <w:rPr>
                      <w:sz w:val="18"/>
                      <w:szCs w:val="18"/>
                    </w:rPr>
                  </w:pPr>
                  <w:r>
                    <w:rPr>
                      <w:sz w:val="18"/>
                      <w:szCs w:val="18"/>
                    </w:rPr>
                    <w:t> </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65485A" w:rsidRDefault="0065485A">
                  <w:pPr>
                    <w:jc w:val="center"/>
                    <w:rPr>
                      <w:sz w:val="18"/>
                      <w:szCs w:val="18"/>
                    </w:rPr>
                  </w:pPr>
                  <w:r>
                    <w:rPr>
                      <w:b/>
                      <w:bCs/>
                      <w:sz w:val="18"/>
                      <w:szCs w:val="18"/>
                    </w:rPr>
                    <w:t>Total Gastos Funcionamiento Neto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65485A" w:rsidRDefault="0065485A">
                  <w:pPr>
                    <w:jc w:val="right"/>
                    <w:rPr>
                      <w:sz w:val="18"/>
                      <w:szCs w:val="18"/>
                    </w:rPr>
                  </w:pPr>
                  <w:r>
                    <w:rPr>
                      <w:b/>
                      <w:bCs/>
                      <w:sz w:val="18"/>
                      <w:szCs w:val="18"/>
                    </w:rPr>
                    <w:t>2.481.230</w:t>
                  </w:r>
                </w:p>
              </w:tc>
            </w:tr>
          </w:tbl>
          <w:p w:rsidR="0065485A" w:rsidRDefault="0065485A">
            <w:pPr>
              <w:jc w:val="center"/>
              <w:rPr>
                <w:sz w:val="18"/>
                <w:szCs w:val="18"/>
              </w:rPr>
            </w:pPr>
          </w:p>
        </w:tc>
      </w:tr>
      <w:tr w:rsidR="0065485A" w:rsidTr="00231ECA">
        <w:tblPrEx>
          <w:tblCellSpacing w:w="15" w:type="dxa"/>
          <w:tblBorders>
            <w:top w:val="none" w:sz="0" w:space="0" w:color="auto"/>
            <w:left w:val="none" w:sz="0" w:space="0" w:color="auto"/>
            <w:bottom w:val="none" w:sz="0" w:space="0" w:color="auto"/>
            <w:right w:val="none" w:sz="0" w:space="0" w:color="auto"/>
          </w:tblBorders>
        </w:tblPrEx>
        <w:trPr>
          <w:tblCellSpacing w:w="15" w:type="dxa"/>
          <w:jc w:val="center"/>
        </w:trPr>
        <w:tc>
          <w:tcPr>
            <w:tcW w:w="0" w:type="auto"/>
            <w:gridSpan w:val="4"/>
            <w:shd w:val="clear" w:color="auto" w:fill="EAF5FF"/>
            <w:vAlign w:val="center"/>
            <w:hideMark/>
          </w:tcPr>
          <w:tbl>
            <w:tblPr>
              <w:tblW w:w="8400" w:type="dxa"/>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240"/>
              <w:gridCol w:w="1160"/>
            </w:tblGrid>
            <w:tr w:rsidR="0065485A">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65485A" w:rsidRDefault="0065485A">
                  <w:pPr>
                    <w:jc w:val="center"/>
                    <w:rPr>
                      <w:sz w:val="18"/>
                      <w:szCs w:val="18"/>
                    </w:rPr>
                  </w:pPr>
                  <w:r>
                    <w:rPr>
                      <w:b/>
                      <w:bCs/>
                      <w:sz w:val="18"/>
                      <w:szCs w:val="18"/>
                    </w:rPr>
                    <w:t>Indicador Ley 617/00 (GF/ICLD)</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65485A" w:rsidRDefault="0065485A">
                  <w:pPr>
                    <w:jc w:val="right"/>
                    <w:rPr>
                      <w:sz w:val="18"/>
                      <w:szCs w:val="18"/>
                    </w:rPr>
                  </w:pPr>
                  <w:r>
                    <w:rPr>
                      <w:b/>
                      <w:bCs/>
                      <w:sz w:val="18"/>
                      <w:szCs w:val="18"/>
                    </w:rPr>
                    <w:t>58,93%</w:t>
                  </w:r>
                </w:p>
              </w:tc>
            </w:tr>
            <w:tr w:rsidR="0065485A">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65485A" w:rsidRDefault="00174209" w:rsidP="00174209">
                  <w:pPr>
                    <w:jc w:val="center"/>
                    <w:rPr>
                      <w:sz w:val="18"/>
                      <w:szCs w:val="18"/>
                    </w:rPr>
                  </w:pPr>
                  <w:r>
                    <w:rPr>
                      <w:b/>
                      <w:bCs/>
                      <w:sz w:val="18"/>
                      <w:szCs w:val="18"/>
                    </w:rPr>
                    <w:t>Límite</w:t>
                  </w:r>
                  <w:r w:rsidR="0065485A">
                    <w:rPr>
                      <w:b/>
                      <w:bCs/>
                      <w:sz w:val="18"/>
                      <w:szCs w:val="18"/>
                    </w:rPr>
                    <w:t xml:space="preserve"> del Gasto ( - ) Indicador Ley 617/00 (GF/ICLD)</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65485A" w:rsidRDefault="0065485A">
                  <w:pPr>
                    <w:jc w:val="right"/>
                    <w:rPr>
                      <w:sz w:val="18"/>
                      <w:szCs w:val="18"/>
                    </w:rPr>
                  </w:pPr>
                  <w:r>
                    <w:rPr>
                      <w:b/>
                      <w:bCs/>
                      <w:sz w:val="18"/>
                      <w:szCs w:val="18"/>
                    </w:rPr>
                    <w:t>21,07%</w:t>
                  </w:r>
                </w:p>
              </w:tc>
            </w:tr>
          </w:tbl>
          <w:p w:rsidR="0065485A" w:rsidRDefault="0065485A">
            <w:pPr>
              <w:jc w:val="center"/>
              <w:rPr>
                <w:sz w:val="18"/>
                <w:szCs w:val="18"/>
              </w:rPr>
            </w:pPr>
          </w:p>
        </w:tc>
      </w:tr>
    </w:tbl>
    <w:p w:rsidR="005F5D93" w:rsidRPr="00AC2164" w:rsidRDefault="00AC2164" w:rsidP="00AC2164">
      <w:pPr>
        <w:spacing w:before="0" w:after="0"/>
        <w:rPr>
          <w:rFonts w:eastAsia="Times New Roman"/>
          <w:color w:val="auto"/>
          <w:sz w:val="18"/>
          <w:szCs w:val="18"/>
        </w:rPr>
      </w:pPr>
      <w:r>
        <w:rPr>
          <w:rFonts w:eastAsia="Times New Roman"/>
          <w:color w:val="auto"/>
          <w:sz w:val="18"/>
          <w:szCs w:val="18"/>
        </w:rPr>
        <w:t>Información tomada de la página de la Contraloría General de la República</w:t>
      </w:r>
    </w:p>
    <w:p w:rsidR="005F5D93" w:rsidRDefault="00AC2164" w:rsidP="00AC2164">
      <w:pPr>
        <w:pStyle w:val="Ttulo2"/>
        <w:jc w:val="both"/>
        <w:rPr>
          <w:rFonts w:ascii="Tahoma" w:hAnsi="Tahoma" w:cs="Tahoma"/>
          <w:b w:val="0"/>
          <w:sz w:val="22"/>
          <w:lang w:val="es-CO"/>
        </w:rPr>
      </w:pPr>
      <w:r>
        <w:rPr>
          <w:rFonts w:ascii="Tahoma" w:hAnsi="Tahoma" w:cs="Tahoma"/>
          <w:b w:val="0"/>
          <w:sz w:val="22"/>
          <w:lang w:val="es-CO"/>
        </w:rPr>
        <w:t>Teniendo en cuenta la certificación de Ingresos corrientes de Libre Destinación expedida por la Contraloría General de la República</w:t>
      </w:r>
      <w:r w:rsidR="005F4A02">
        <w:rPr>
          <w:rFonts w:ascii="Tahoma" w:hAnsi="Tahoma" w:cs="Tahoma"/>
          <w:b w:val="0"/>
          <w:sz w:val="22"/>
          <w:lang w:val="es-CO"/>
        </w:rPr>
        <w:t xml:space="preserve"> y</w:t>
      </w:r>
      <w:r w:rsidR="002206E8">
        <w:rPr>
          <w:rFonts w:ascii="Tahoma" w:hAnsi="Tahoma" w:cs="Tahoma"/>
          <w:b w:val="0"/>
          <w:sz w:val="22"/>
          <w:lang w:val="es-CO"/>
        </w:rPr>
        <w:t xml:space="preserve"> la Ejecución presupuestal de Ingresos y Gastos</w:t>
      </w:r>
      <w:r w:rsidR="005F4A02">
        <w:rPr>
          <w:rFonts w:ascii="Tahoma" w:hAnsi="Tahoma" w:cs="Tahoma"/>
          <w:b w:val="0"/>
          <w:sz w:val="22"/>
          <w:lang w:val="es-CO"/>
        </w:rPr>
        <w:t>,</w:t>
      </w:r>
      <w:r>
        <w:rPr>
          <w:rFonts w:ascii="Tahoma" w:hAnsi="Tahoma" w:cs="Tahoma"/>
          <w:b w:val="0"/>
          <w:sz w:val="22"/>
          <w:lang w:val="es-CO"/>
        </w:rPr>
        <w:t xml:space="preserve"> se </w:t>
      </w:r>
      <w:r w:rsidR="004B7B3F">
        <w:rPr>
          <w:rFonts w:ascii="Tahoma" w:hAnsi="Tahoma" w:cs="Tahoma"/>
          <w:b w:val="0"/>
          <w:sz w:val="22"/>
          <w:lang w:val="es-CO"/>
        </w:rPr>
        <w:t>evidenci</w:t>
      </w:r>
      <w:r>
        <w:rPr>
          <w:rFonts w:ascii="Tahoma" w:hAnsi="Tahoma" w:cs="Tahoma"/>
          <w:b w:val="0"/>
          <w:sz w:val="22"/>
          <w:lang w:val="es-CO"/>
        </w:rPr>
        <w:t xml:space="preserve">ó que el Municipio de Lérida </w:t>
      </w:r>
      <w:r w:rsidRPr="007C336F">
        <w:rPr>
          <w:rFonts w:ascii="Tahoma" w:hAnsi="Tahoma" w:cs="Tahoma"/>
          <w:sz w:val="22"/>
          <w:lang w:val="es-CO"/>
        </w:rPr>
        <w:t>CUMPLE</w:t>
      </w:r>
      <w:r>
        <w:rPr>
          <w:rFonts w:ascii="Tahoma" w:hAnsi="Tahoma" w:cs="Tahoma"/>
          <w:b w:val="0"/>
          <w:sz w:val="22"/>
          <w:lang w:val="es-CO"/>
        </w:rPr>
        <w:t xml:space="preserve"> con el indicador de ley 617 de 2000, toda vez que los Gastos de funcionamiento para la vigencia fiscal 2015 fueron de</w:t>
      </w:r>
      <w:r w:rsidR="00C12F15">
        <w:rPr>
          <w:rFonts w:ascii="Tahoma" w:hAnsi="Tahoma" w:cs="Tahoma"/>
          <w:b w:val="0"/>
          <w:sz w:val="22"/>
          <w:lang w:val="es-CO"/>
        </w:rPr>
        <w:t>l</w:t>
      </w:r>
      <w:r>
        <w:rPr>
          <w:rFonts w:ascii="Tahoma" w:hAnsi="Tahoma" w:cs="Tahoma"/>
          <w:b w:val="0"/>
          <w:sz w:val="22"/>
          <w:lang w:val="es-CO"/>
        </w:rPr>
        <w:t xml:space="preserve"> </w:t>
      </w:r>
      <w:r w:rsidRPr="004A698D">
        <w:rPr>
          <w:rFonts w:ascii="Tahoma" w:hAnsi="Tahoma" w:cs="Tahoma"/>
          <w:sz w:val="22"/>
          <w:lang w:val="es-CO"/>
        </w:rPr>
        <w:t>58.93%</w:t>
      </w:r>
      <w:r>
        <w:rPr>
          <w:rFonts w:ascii="Tahoma" w:hAnsi="Tahoma" w:cs="Tahoma"/>
          <w:b w:val="0"/>
          <w:sz w:val="22"/>
          <w:lang w:val="es-CO"/>
        </w:rPr>
        <w:t xml:space="preserve"> dónde el límite máximo es del 80%.</w:t>
      </w:r>
    </w:p>
    <w:p w:rsidR="00054A9B" w:rsidRDefault="00054A9B" w:rsidP="00AC2164">
      <w:pPr>
        <w:pStyle w:val="Ttulo2"/>
        <w:jc w:val="both"/>
        <w:rPr>
          <w:rFonts w:ascii="Tahoma" w:hAnsi="Tahoma" w:cs="Tahoma"/>
          <w:b w:val="0"/>
          <w:sz w:val="22"/>
          <w:lang w:val="es-CO"/>
        </w:rPr>
      </w:pPr>
    </w:p>
    <w:p w:rsidR="004B7B3F" w:rsidRPr="00776215" w:rsidRDefault="00E15E67" w:rsidP="004B7B3F">
      <w:pPr>
        <w:spacing w:before="0" w:after="0"/>
        <w:jc w:val="both"/>
        <w:rPr>
          <w:rFonts w:ascii="Tahoma" w:eastAsia="Times New Roman" w:hAnsi="Tahoma" w:cs="Tahoma"/>
          <w:b/>
          <w:bCs/>
          <w:color w:val="auto"/>
        </w:rPr>
      </w:pPr>
      <w:r w:rsidRPr="00776215">
        <w:rPr>
          <w:rFonts w:ascii="Tahoma" w:eastAsia="Times New Roman" w:hAnsi="Tahoma" w:cs="Tahoma"/>
          <w:b/>
          <w:bCs/>
          <w:color w:val="auto"/>
        </w:rPr>
        <w:t xml:space="preserve">GASTOS DE LAS CORPORACIONES </w:t>
      </w:r>
      <w:r w:rsidR="005F4A02" w:rsidRPr="00776215">
        <w:rPr>
          <w:rFonts w:ascii="Tahoma" w:eastAsia="Times New Roman" w:hAnsi="Tahoma" w:cs="Tahoma"/>
          <w:b/>
          <w:bCs/>
          <w:color w:val="auto"/>
        </w:rPr>
        <w:t>PÚBLICAS</w:t>
      </w:r>
      <w:r w:rsidRPr="00776215">
        <w:rPr>
          <w:rFonts w:ascii="Tahoma" w:eastAsia="Times New Roman" w:hAnsi="Tahoma" w:cs="Tahoma"/>
          <w:b/>
          <w:bCs/>
          <w:color w:val="auto"/>
        </w:rPr>
        <w:t xml:space="preserve"> – CONCEJO MUNICIPAL</w:t>
      </w:r>
    </w:p>
    <w:p w:rsidR="00E15E67" w:rsidRPr="00776215" w:rsidRDefault="00E15E67" w:rsidP="004B7B3F">
      <w:pPr>
        <w:spacing w:before="0" w:after="0"/>
        <w:jc w:val="both"/>
        <w:rPr>
          <w:rFonts w:ascii="Tahoma" w:eastAsia="Times New Roman" w:hAnsi="Tahoma" w:cs="Tahoma"/>
          <w:b/>
          <w:bCs/>
          <w:color w:val="auto"/>
        </w:rPr>
      </w:pPr>
    </w:p>
    <w:p w:rsidR="00E15E67" w:rsidRDefault="00E15E67" w:rsidP="004B7B3F">
      <w:pPr>
        <w:spacing w:before="0" w:after="0"/>
        <w:jc w:val="both"/>
        <w:rPr>
          <w:rFonts w:ascii="Tahoma" w:hAnsi="Tahoma" w:cs="Tahoma"/>
        </w:rPr>
      </w:pPr>
      <w:r w:rsidRPr="00A66750">
        <w:rPr>
          <w:rFonts w:ascii="Tahoma" w:eastAsia="Times New Roman" w:hAnsi="Tahoma" w:cs="Tahoma"/>
          <w:bCs/>
          <w:color w:val="auto"/>
        </w:rPr>
        <w:t xml:space="preserve">El </w:t>
      </w:r>
      <w:r w:rsidR="00C86CA5">
        <w:rPr>
          <w:rFonts w:ascii="Tahoma" w:eastAsia="Times New Roman" w:hAnsi="Tahoma" w:cs="Tahoma"/>
          <w:bCs/>
          <w:color w:val="auto"/>
        </w:rPr>
        <w:t>ente Territorial</w:t>
      </w:r>
      <w:r w:rsidRPr="00A66750">
        <w:rPr>
          <w:rFonts w:ascii="Tahoma" w:eastAsia="Times New Roman" w:hAnsi="Tahoma" w:cs="Tahoma"/>
          <w:bCs/>
          <w:color w:val="auto"/>
        </w:rPr>
        <w:t xml:space="preserve"> para la vigencia 2015, le transfirió al Concejo Municipal la suma de $147</w:t>
      </w:r>
      <w:r w:rsidR="00EE23CA" w:rsidRPr="00EE23CA">
        <w:rPr>
          <w:rFonts w:ascii="Tahoma" w:hAnsi="Tahoma" w:cs="Tahoma"/>
          <w:color w:val="auto"/>
        </w:rPr>
        <w:t xml:space="preserve"> </w:t>
      </w:r>
      <w:r w:rsidR="00EE23CA">
        <w:rPr>
          <w:rFonts w:ascii="Tahoma" w:hAnsi="Tahoma" w:cs="Tahoma"/>
          <w:color w:val="auto"/>
        </w:rPr>
        <w:t>millones</w:t>
      </w:r>
      <w:r w:rsidR="005F4A02" w:rsidRPr="00A66750">
        <w:rPr>
          <w:rFonts w:ascii="Tahoma" w:eastAsia="Times New Roman" w:hAnsi="Tahoma" w:cs="Tahoma"/>
          <w:bCs/>
          <w:color w:val="auto"/>
        </w:rPr>
        <w:t>, de los cuales $101</w:t>
      </w:r>
      <w:r w:rsidR="00EE23CA">
        <w:rPr>
          <w:rFonts w:ascii="Tahoma" w:eastAsia="Times New Roman" w:hAnsi="Tahoma" w:cs="Tahoma"/>
          <w:bCs/>
          <w:color w:val="auto"/>
        </w:rPr>
        <w:t xml:space="preserve"> </w:t>
      </w:r>
      <w:r w:rsidR="00EE23CA">
        <w:rPr>
          <w:rFonts w:ascii="Tahoma" w:hAnsi="Tahoma" w:cs="Tahoma"/>
          <w:color w:val="auto"/>
        </w:rPr>
        <w:t>millones</w:t>
      </w:r>
      <w:r w:rsidR="005F4A02" w:rsidRPr="00A66750">
        <w:rPr>
          <w:rFonts w:ascii="Tahoma" w:eastAsia="Times New Roman" w:hAnsi="Tahoma" w:cs="Tahoma"/>
          <w:bCs/>
          <w:color w:val="auto"/>
        </w:rPr>
        <w:t xml:space="preserve"> correspondieron a honorarios de Concejales y $45</w:t>
      </w:r>
      <w:r w:rsidR="00EE23CA">
        <w:rPr>
          <w:rFonts w:ascii="Tahoma" w:eastAsia="Times New Roman" w:hAnsi="Tahoma" w:cs="Tahoma"/>
          <w:bCs/>
          <w:color w:val="auto"/>
        </w:rPr>
        <w:t xml:space="preserve"> </w:t>
      </w:r>
      <w:r w:rsidR="00EE23CA">
        <w:rPr>
          <w:rFonts w:ascii="Tahoma" w:hAnsi="Tahoma" w:cs="Tahoma"/>
          <w:color w:val="auto"/>
        </w:rPr>
        <w:t>millones</w:t>
      </w:r>
      <w:r w:rsidR="005F4A02" w:rsidRPr="00A66750">
        <w:rPr>
          <w:rFonts w:ascii="Tahoma" w:eastAsia="Times New Roman" w:hAnsi="Tahoma" w:cs="Tahoma"/>
          <w:bCs/>
          <w:color w:val="auto"/>
        </w:rPr>
        <w:t xml:space="preserve"> para gastos de funcionamiento</w:t>
      </w:r>
      <w:r w:rsidR="007B5621" w:rsidRPr="00A66750">
        <w:rPr>
          <w:rFonts w:ascii="Tahoma" w:eastAsia="Times New Roman" w:hAnsi="Tahoma" w:cs="Tahoma"/>
          <w:bCs/>
          <w:color w:val="auto"/>
        </w:rPr>
        <w:t xml:space="preserve">, con ello </w:t>
      </w:r>
      <w:r w:rsidR="001B475A">
        <w:rPr>
          <w:rFonts w:ascii="Tahoma" w:eastAsia="Times New Roman" w:hAnsi="Tahoma" w:cs="Tahoma"/>
          <w:bCs/>
          <w:color w:val="auto"/>
        </w:rPr>
        <w:t xml:space="preserve">el Municipio de Lérida </w:t>
      </w:r>
      <w:r w:rsidR="00640913" w:rsidRPr="00A66750">
        <w:rPr>
          <w:rFonts w:ascii="Tahoma" w:eastAsia="Times New Roman" w:hAnsi="Tahoma" w:cs="Tahoma"/>
          <w:bCs/>
          <w:color w:val="auto"/>
        </w:rPr>
        <w:t>d</w:t>
      </w:r>
      <w:r w:rsidR="001B475A">
        <w:rPr>
          <w:rFonts w:ascii="Tahoma" w:eastAsia="Times New Roman" w:hAnsi="Tahoma" w:cs="Tahoma"/>
          <w:bCs/>
          <w:color w:val="auto"/>
        </w:rPr>
        <w:t>io</w:t>
      </w:r>
      <w:r w:rsidR="00640913" w:rsidRPr="00A66750">
        <w:rPr>
          <w:rFonts w:ascii="Tahoma" w:eastAsia="Times New Roman" w:hAnsi="Tahoma" w:cs="Tahoma"/>
          <w:bCs/>
          <w:color w:val="auto"/>
        </w:rPr>
        <w:t xml:space="preserve"> </w:t>
      </w:r>
      <w:r w:rsidR="00640913" w:rsidRPr="00A66750">
        <w:rPr>
          <w:rFonts w:ascii="Tahoma" w:hAnsi="Tahoma" w:cs="Tahoma"/>
        </w:rPr>
        <w:t>cumplimiento a lo establec</w:t>
      </w:r>
      <w:r w:rsidR="00A66750" w:rsidRPr="00A66750">
        <w:rPr>
          <w:rFonts w:ascii="Tahoma" w:hAnsi="Tahoma" w:cs="Tahoma"/>
        </w:rPr>
        <w:t xml:space="preserve">ido en </w:t>
      </w:r>
      <w:r w:rsidR="00640913" w:rsidRPr="00A66750">
        <w:rPr>
          <w:rFonts w:ascii="Tahoma" w:hAnsi="Tahoma" w:cs="Tahoma"/>
        </w:rPr>
        <w:t>la Ley 617 de</w:t>
      </w:r>
      <w:r w:rsidR="00C86CA5">
        <w:rPr>
          <w:rFonts w:ascii="Tahoma" w:hAnsi="Tahoma" w:cs="Tahoma"/>
        </w:rPr>
        <w:t xml:space="preserve"> 2000 artículo 10,</w:t>
      </w:r>
      <w:r w:rsidR="005172FE">
        <w:rPr>
          <w:rFonts w:ascii="Tahoma" w:hAnsi="Tahoma" w:cs="Tahoma"/>
        </w:rPr>
        <w:t xml:space="preserve"> que en lo pertinente dice: “Durante cada vigencia fiscal, los gastos de los Concejos no podrán superar el valor correspondiente al total de los honorarios que se causen por el número de sesiones autorizado en el artículo 20 de esta ley más el uno punto cinco por ciento (1.5%) de los ingresos corrientes de libre destinación”.</w:t>
      </w:r>
      <w:r w:rsidR="00763FDB">
        <w:rPr>
          <w:rFonts w:ascii="Tahoma" w:hAnsi="Tahoma" w:cs="Tahoma"/>
        </w:rPr>
        <w:t xml:space="preserve"> Es decir, </w:t>
      </w:r>
      <w:r w:rsidR="001B475A">
        <w:rPr>
          <w:rFonts w:ascii="Tahoma" w:hAnsi="Tahoma" w:cs="Tahoma"/>
        </w:rPr>
        <w:t>l</w:t>
      </w:r>
      <w:r w:rsidR="00763FDB">
        <w:rPr>
          <w:rFonts w:ascii="Tahoma" w:hAnsi="Tahoma" w:cs="Tahoma"/>
        </w:rPr>
        <w:t>a suma de $63.154.000.oo</w:t>
      </w:r>
      <w:r w:rsidR="005172FE">
        <w:rPr>
          <w:rFonts w:ascii="Tahoma" w:hAnsi="Tahoma" w:cs="Tahoma"/>
        </w:rPr>
        <w:t xml:space="preserve"> </w:t>
      </w:r>
    </w:p>
    <w:p w:rsidR="00763FDB" w:rsidRDefault="00763FDB" w:rsidP="004B7B3F">
      <w:pPr>
        <w:spacing w:before="0" w:after="0"/>
        <w:jc w:val="both"/>
        <w:rPr>
          <w:rFonts w:ascii="Tahoma" w:hAnsi="Tahoma" w:cs="Tahoma"/>
        </w:rPr>
      </w:pPr>
    </w:p>
    <w:tbl>
      <w:tblPr>
        <w:tblStyle w:val="Tablaconcuadrcula"/>
        <w:tblW w:w="0" w:type="auto"/>
        <w:tblLayout w:type="fixed"/>
        <w:tblLook w:val="04A0" w:firstRow="1" w:lastRow="0" w:firstColumn="1" w:lastColumn="0" w:noHBand="0" w:noVBand="1"/>
      </w:tblPr>
      <w:tblGrid>
        <w:gridCol w:w="2376"/>
        <w:gridCol w:w="1560"/>
        <w:gridCol w:w="1275"/>
        <w:gridCol w:w="1560"/>
        <w:gridCol w:w="2285"/>
      </w:tblGrid>
      <w:tr w:rsidR="00763FDB" w:rsidTr="001B475A">
        <w:tc>
          <w:tcPr>
            <w:tcW w:w="2376" w:type="dxa"/>
          </w:tcPr>
          <w:p w:rsidR="00763FDB" w:rsidRDefault="00763FDB" w:rsidP="00763FDB">
            <w:pPr>
              <w:jc w:val="center"/>
              <w:rPr>
                <w:lang w:val="es-ES" w:eastAsia="es-ES"/>
              </w:rPr>
            </w:pPr>
            <w:r>
              <w:rPr>
                <w:lang w:val="es-ES" w:eastAsia="es-ES"/>
              </w:rPr>
              <w:t>Concepto</w:t>
            </w:r>
          </w:p>
        </w:tc>
        <w:tc>
          <w:tcPr>
            <w:tcW w:w="1560" w:type="dxa"/>
          </w:tcPr>
          <w:p w:rsidR="00763FDB" w:rsidRDefault="00763FDB" w:rsidP="00763FDB">
            <w:pPr>
              <w:jc w:val="center"/>
              <w:rPr>
                <w:lang w:val="es-ES" w:eastAsia="es-ES"/>
              </w:rPr>
            </w:pPr>
            <w:r>
              <w:rPr>
                <w:lang w:val="es-ES" w:eastAsia="es-ES"/>
              </w:rPr>
              <w:t>Presupuesto Inicial</w:t>
            </w:r>
          </w:p>
        </w:tc>
        <w:tc>
          <w:tcPr>
            <w:tcW w:w="1275" w:type="dxa"/>
          </w:tcPr>
          <w:p w:rsidR="00763FDB" w:rsidRDefault="00763FDB" w:rsidP="00763FDB">
            <w:pPr>
              <w:jc w:val="center"/>
              <w:rPr>
                <w:lang w:val="es-ES" w:eastAsia="es-ES"/>
              </w:rPr>
            </w:pPr>
            <w:r>
              <w:rPr>
                <w:lang w:val="es-ES" w:eastAsia="es-ES"/>
              </w:rPr>
              <w:t>Adiciones</w:t>
            </w:r>
          </w:p>
        </w:tc>
        <w:tc>
          <w:tcPr>
            <w:tcW w:w="1560" w:type="dxa"/>
          </w:tcPr>
          <w:p w:rsidR="00763FDB" w:rsidRDefault="00763FDB" w:rsidP="00763FDB">
            <w:pPr>
              <w:jc w:val="center"/>
              <w:rPr>
                <w:lang w:val="es-ES" w:eastAsia="es-ES"/>
              </w:rPr>
            </w:pPr>
            <w:r>
              <w:rPr>
                <w:lang w:val="es-ES" w:eastAsia="es-ES"/>
              </w:rPr>
              <w:t>Presupuesto Definitivo</w:t>
            </w:r>
          </w:p>
        </w:tc>
        <w:tc>
          <w:tcPr>
            <w:tcW w:w="2285" w:type="dxa"/>
          </w:tcPr>
          <w:p w:rsidR="00763FDB" w:rsidRDefault="00763FDB" w:rsidP="00763FDB">
            <w:pPr>
              <w:jc w:val="center"/>
              <w:rPr>
                <w:lang w:val="es-ES" w:eastAsia="es-ES"/>
              </w:rPr>
            </w:pPr>
            <w:r>
              <w:rPr>
                <w:lang w:val="es-ES" w:eastAsia="es-ES"/>
              </w:rPr>
              <w:t>Total Comprometido</w:t>
            </w:r>
          </w:p>
        </w:tc>
      </w:tr>
      <w:tr w:rsidR="00763FDB" w:rsidTr="001B475A">
        <w:tc>
          <w:tcPr>
            <w:tcW w:w="2376" w:type="dxa"/>
          </w:tcPr>
          <w:p w:rsidR="00763FDB" w:rsidRPr="00763FDB" w:rsidRDefault="00763FDB" w:rsidP="00763FDB">
            <w:pPr>
              <w:jc w:val="right"/>
              <w:rPr>
                <w:rFonts w:ascii="Tahoma" w:hAnsi="Tahoma" w:cs="Tahoma"/>
                <w:sz w:val="20"/>
                <w:szCs w:val="20"/>
                <w:lang w:val="es-ES" w:eastAsia="es-ES"/>
              </w:rPr>
            </w:pPr>
            <w:r w:rsidRPr="00763FDB">
              <w:rPr>
                <w:rFonts w:ascii="Tahoma" w:hAnsi="Tahoma" w:cs="Tahoma"/>
                <w:sz w:val="20"/>
                <w:szCs w:val="20"/>
                <w:lang w:val="es-ES" w:eastAsia="es-ES"/>
              </w:rPr>
              <w:t>Gastos Funcionam</w:t>
            </w:r>
            <w:r>
              <w:rPr>
                <w:rFonts w:ascii="Tahoma" w:hAnsi="Tahoma" w:cs="Tahoma"/>
                <w:sz w:val="20"/>
                <w:szCs w:val="20"/>
                <w:lang w:val="es-ES" w:eastAsia="es-ES"/>
              </w:rPr>
              <w:t>iento</w:t>
            </w:r>
          </w:p>
        </w:tc>
        <w:tc>
          <w:tcPr>
            <w:tcW w:w="1560" w:type="dxa"/>
          </w:tcPr>
          <w:p w:rsidR="00763FDB" w:rsidRPr="00763FDB" w:rsidRDefault="00763FDB" w:rsidP="00763FDB">
            <w:pPr>
              <w:jc w:val="right"/>
              <w:rPr>
                <w:rFonts w:ascii="Tahoma" w:hAnsi="Tahoma" w:cs="Tahoma"/>
                <w:sz w:val="20"/>
                <w:szCs w:val="20"/>
                <w:lang w:val="es-ES" w:eastAsia="es-ES"/>
              </w:rPr>
            </w:pPr>
            <w:r>
              <w:rPr>
                <w:rFonts w:ascii="Tahoma" w:hAnsi="Tahoma" w:cs="Tahoma"/>
                <w:sz w:val="20"/>
                <w:szCs w:val="20"/>
                <w:lang w:val="es-ES" w:eastAsia="es-ES"/>
              </w:rPr>
              <w:t>$45.988.467</w:t>
            </w:r>
          </w:p>
        </w:tc>
        <w:tc>
          <w:tcPr>
            <w:tcW w:w="1275" w:type="dxa"/>
          </w:tcPr>
          <w:p w:rsidR="00763FDB" w:rsidRPr="00763FDB" w:rsidRDefault="001B475A" w:rsidP="00763FDB">
            <w:pPr>
              <w:jc w:val="right"/>
              <w:rPr>
                <w:rFonts w:ascii="Tahoma" w:hAnsi="Tahoma" w:cs="Tahoma"/>
                <w:sz w:val="20"/>
                <w:szCs w:val="20"/>
                <w:lang w:val="es-ES" w:eastAsia="es-ES"/>
              </w:rPr>
            </w:pPr>
            <w:r>
              <w:rPr>
                <w:rFonts w:ascii="Tahoma" w:hAnsi="Tahoma" w:cs="Tahoma"/>
                <w:sz w:val="20"/>
                <w:szCs w:val="20"/>
                <w:lang w:val="es-ES" w:eastAsia="es-ES"/>
              </w:rPr>
              <w:t>O</w:t>
            </w:r>
          </w:p>
        </w:tc>
        <w:tc>
          <w:tcPr>
            <w:tcW w:w="1560" w:type="dxa"/>
          </w:tcPr>
          <w:p w:rsidR="00763FDB" w:rsidRPr="00763FDB" w:rsidRDefault="001B475A" w:rsidP="00763FDB">
            <w:pPr>
              <w:jc w:val="right"/>
              <w:rPr>
                <w:rFonts w:ascii="Tahoma" w:hAnsi="Tahoma" w:cs="Tahoma"/>
                <w:sz w:val="20"/>
                <w:szCs w:val="20"/>
                <w:lang w:val="es-ES" w:eastAsia="es-ES"/>
              </w:rPr>
            </w:pPr>
            <w:r>
              <w:rPr>
                <w:rFonts w:ascii="Tahoma" w:hAnsi="Tahoma" w:cs="Tahoma"/>
                <w:sz w:val="20"/>
                <w:szCs w:val="20"/>
                <w:lang w:val="es-ES" w:eastAsia="es-ES"/>
              </w:rPr>
              <w:t>$45.988.467</w:t>
            </w:r>
          </w:p>
        </w:tc>
        <w:tc>
          <w:tcPr>
            <w:tcW w:w="2285" w:type="dxa"/>
          </w:tcPr>
          <w:p w:rsidR="00763FDB" w:rsidRPr="00763FDB" w:rsidRDefault="001B475A" w:rsidP="00763FDB">
            <w:pPr>
              <w:jc w:val="right"/>
              <w:rPr>
                <w:rFonts w:ascii="Tahoma" w:hAnsi="Tahoma" w:cs="Tahoma"/>
                <w:sz w:val="20"/>
                <w:szCs w:val="20"/>
                <w:lang w:val="es-ES" w:eastAsia="es-ES"/>
              </w:rPr>
            </w:pPr>
            <w:r>
              <w:rPr>
                <w:rFonts w:ascii="Tahoma" w:hAnsi="Tahoma" w:cs="Tahoma"/>
                <w:sz w:val="20"/>
                <w:szCs w:val="20"/>
                <w:lang w:val="es-ES" w:eastAsia="es-ES"/>
              </w:rPr>
              <w:t>$44.416.276</w:t>
            </w:r>
          </w:p>
        </w:tc>
      </w:tr>
      <w:tr w:rsidR="00763FDB" w:rsidTr="001B475A">
        <w:tc>
          <w:tcPr>
            <w:tcW w:w="2376" w:type="dxa"/>
          </w:tcPr>
          <w:p w:rsidR="00763FDB" w:rsidRPr="00763FDB" w:rsidRDefault="00763FDB" w:rsidP="00763FDB">
            <w:pPr>
              <w:jc w:val="right"/>
              <w:rPr>
                <w:rFonts w:ascii="Tahoma" w:hAnsi="Tahoma" w:cs="Tahoma"/>
                <w:sz w:val="20"/>
                <w:szCs w:val="20"/>
                <w:lang w:val="es-ES" w:eastAsia="es-ES"/>
              </w:rPr>
            </w:pPr>
            <w:r>
              <w:rPr>
                <w:rFonts w:ascii="Tahoma" w:hAnsi="Tahoma" w:cs="Tahoma"/>
                <w:sz w:val="20"/>
                <w:szCs w:val="20"/>
                <w:lang w:val="es-ES" w:eastAsia="es-ES"/>
              </w:rPr>
              <w:t>Honorarios Concejales</w:t>
            </w:r>
          </w:p>
        </w:tc>
        <w:tc>
          <w:tcPr>
            <w:tcW w:w="1560" w:type="dxa"/>
          </w:tcPr>
          <w:p w:rsidR="00763FDB" w:rsidRPr="00763FDB" w:rsidRDefault="001B475A" w:rsidP="00763FDB">
            <w:pPr>
              <w:jc w:val="right"/>
              <w:rPr>
                <w:rFonts w:ascii="Tahoma" w:hAnsi="Tahoma" w:cs="Tahoma"/>
                <w:sz w:val="20"/>
                <w:szCs w:val="20"/>
                <w:lang w:val="es-ES" w:eastAsia="es-ES"/>
              </w:rPr>
            </w:pPr>
            <w:r>
              <w:rPr>
                <w:rFonts w:ascii="Tahoma" w:hAnsi="Tahoma" w:cs="Tahoma"/>
                <w:sz w:val="20"/>
                <w:szCs w:val="20"/>
                <w:lang w:val="es-ES" w:eastAsia="es-ES"/>
              </w:rPr>
              <w:t>$101.611.533</w:t>
            </w:r>
          </w:p>
        </w:tc>
        <w:tc>
          <w:tcPr>
            <w:tcW w:w="1275" w:type="dxa"/>
          </w:tcPr>
          <w:p w:rsidR="00763FDB" w:rsidRPr="00763FDB" w:rsidRDefault="001B475A" w:rsidP="00763FDB">
            <w:pPr>
              <w:jc w:val="right"/>
              <w:rPr>
                <w:rFonts w:ascii="Tahoma" w:hAnsi="Tahoma" w:cs="Tahoma"/>
                <w:sz w:val="20"/>
                <w:szCs w:val="20"/>
                <w:lang w:val="es-ES" w:eastAsia="es-ES"/>
              </w:rPr>
            </w:pPr>
            <w:r>
              <w:rPr>
                <w:rFonts w:ascii="Tahoma" w:hAnsi="Tahoma" w:cs="Tahoma"/>
                <w:sz w:val="20"/>
                <w:szCs w:val="20"/>
                <w:lang w:val="es-ES" w:eastAsia="es-ES"/>
              </w:rPr>
              <w:t>0</w:t>
            </w:r>
          </w:p>
        </w:tc>
        <w:tc>
          <w:tcPr>
            <w:tcW w:w="1560" w:type="dxa"/>
          </w:tcPr>
          <w:p w:rsidR="00763FDB" w:rsidRPr="00763FDB" w:rsidRDefault="001B475A" w:rsidP="00763FDB">
            <w:pPr>
              <w:jc w:val="right"/>
              <w:rPr>
                <w:rFonts w:ascii="Tahoma" w:hAnsi="Tahoma" w:cs="Tahoma"/>
                <w:sz w:val="20"/>
                <w:szCs w:val="20"/>
                <w:lang w:val="es-ES" w:eastAsia="es-ES"/>
              </w:rPr>
            </w:pPr>
            <w:r>
              <w:rPr>
                <w:rFonts w:ascii="Tahoma" w:hAnsi="Tahoma" w:cs="Tahoma"/>
                <w:sz w:val="20"/>
                <w:szCs w:val="20"/>
                <w:lang w:val="es-ES" w:eastAsia="es-ES"/>
              </w:rPr>
              <w:t>$101.611.533</w:t>
            </w:r>
          </w:p>
        </w:tc>
        <w:tc>
          <w:tcPr>
            <w:tcW w:w="2285" w:type="dxa"/>
          </w:tcPr>
          <w:p w:rsidR="00763FDB" w:rsidRPr="00763FDB" w:rsidRDefault="001B475A" w:rsidP="00763FDB">
            <w:pPr>
              <w:jc w:val="right"/>
              <w:rPr>
                <w:rFonts w:ascii="Tahoma" w:hAnsi="Tahoma" w:cs="Tahoma"/>
                <w:sz w:val="20"/>
                <w:szCs w:val="20"/>
                <w:lang w:val="es-ES" w:eastAsia="es-ES"/>
              </w:rPr>
            </w:pPr>
            <w:r>
              <w:rPr>
                <w:rFonts w:ascii="Tahoma" w:hAnsi="Tahoma" w:cs="Tahoma"/>
                <w:sz w:val="20"/>
                <w:szCs w:val="20"/>
                <w:lang w:val="es-ES" w:eastAsia="es-ES"/>
              </w:rPr>
              <w:t>$91.129.090</w:t>
            </w:r>
          </w:p>
        </w:tc>
      </w:tr>
    </w:tbl>
    <w:p w:rsidR="00231ECA" w:rsidRDefault="00231ECA" w:rsidP="004B7B3F">
      <w:pPr>
        <w:spacing w:before="0" w:after="0"/>
        <w:jc w:val="both"/>
        <w:rPr>
          <w:rFonts w:eastAsia="Times New Roman"/>
          <w:b/>
          <w:bCs/>
          <w:color w:val="auto"/>
          <w:sz w:val="20"/>
          <w:szCs w:val="20"/>
        </w:rPr>
      </w:pPr>
    </w:p>
    <w:p w:rsidR="00231ECA" w:rsidRDefault="00231ECA" w:rsidP="004B7B3F">
      <w:pPr>
        <w:spacing w:before="0" w:after="0"/>
        <w:jc w:val="both"/>
        <w:rPr>
          <w:rFonts w:eastAsia="Times New Roman"/>
          <w:b/>
          <w:bCs/>
          <w:color w:val="auto"/>
          <w:sz w:val="20"/>
          <w:szCs w:val="20"/>
        </w:rPr>
      </w:pPr>
    </w:p>
    <w:p w:rsidR="009F248B" w:rsidRPr="00CA76CA" w:rsidRDefault="009F248B" w:rsidP="004B7B3F">
      <w:pPr>
        <w:spacing w:before="0" w:after="0"/>
        <w:jc w:val="both"/>
        <w:rPr>
          <w:rFonts w:ascii="Tahoma" w:eastAsia="Times New Roman" w:hAnsi="Tahoma" w:cs="Tahoma"/>
          <w:b/>
          <w:bCs/>
          <w:color w:val="auto"/>
        </w:rPr>
      </w:pPr>
      <w:r w:rsidRPr="00CA76CA">
        <w:rPr>
          <w:rFonts w:ascii="Tahoma" w:eastAsia="Times New Roman" w:hAnsi="Tahoma" w:cs="Tahoma"/>
          <w:b/>
          <w:bCs/>
          <w:color w:val="auto"/>
        </w:rPr>
        <w:t>GASTOS DE LAS PERSONERIAS</w:t>
      </w:r>
    </w:p>
    <w:p w:rsidR="009F248B" w:rsidRPr="00CA76CA" w:rsidRDefault="009F248B" w:rsidP="004B7B3F">
      <w:pPr>
        <w:spacing w:before="0" w:after="0"/>
        <w:jc w:val="both"/>
        <w:rPr>
          <w:rFonts w:ascii="Tahoma" w:eastAsia="Times New Roman" w:hAnsi="Tahoma" w:cs="Tahoma"/>
          <w:bCs/>
          <w:color w:val="auto"/>
        </w:rPr>
      </w:pPr>
    </w:p>
    <w:p w:rsidR="00D34898" w:rsidRPr="00CA76CA" w:rsidRDefault="00A05F58" w:rsidP="004B7B3F">
      <w:pPr>
        <w:spacing w:before="0" w:after="0"/>
        <w:jc w:val="both"/>
        <w:rPr>
          <w:rFonts w:ascii="Tahoma" w:eastAsia="Times New Roman" w:hAnsi="Tahoma" w:cs="Tahoma"/>
          <w:bCs/>
          <w:color w:val="auto"/>
        </w:rPr>
      </w:pPr>
      <w:r w:rsidRPr="00CA76CA">
        <w:rPr>
          <w:rFonts w:ascii="Tahoma" w:eastAsia="Times New Roman" w:hAnsi="Tahoma" w:cs="Tahoma"/>
          <w:bCs/>
          <w:color w:val="auto"/>
        </w:rPr>
        <w:t>La ley 617 de 2000, en su artículo 10, establece el valor máximo  de los gastos de funcionamiento para las Personerías Municipales</w:t>
      </w:r>
      <w:r w:rsidR="008C73D6" w:rsidRPr="00CA76CA">
        <w:rPr>
          <w:rFonts w:ascii="Tahoma" w:eastAsia="Times New Roman" w:hAnsi="Tahoma" w:cs="Tahoma"/>
          <w:bCs/>
          <w:color w:val="auto"/>
        </w:rPr>
        <w:t xml:space="preserve"> de acuerdo a la categoría del Municipio.  Para el Municipio de Lérida </w:t>
      </w:r>
      <w:r w:rsidR="00D34898" w:rsidRPr="00CA76CA">
        <w:rPr>
          <w:rFonts w:ascii="Tahoma" w:eastAsia="Times New Roman" w:hAnsi="Tahoma" w:cs="Tahoma"/>
          <w:bCs/>
          <w:color w:val="auto"/>
        </w:rPr>
        <w:t>que se encuentra clasificado en Sexta Categoría, los gastos no podrán superar los 150 SMMV, es decir, para la vigencia 2015 la suma de $96.652.500.oo</w:t>
      </w:r>
    </w:p>
    <w:p w:rsidR="00D34898" w:rsidRPr="00CA76CA" w:rsidRDefault="00D34898" w:rsidP="004B7B3F">
      <w:pPr>
        <w:spacing w:before="0" w:after="0"/>
        <w:jc w:val="both"/>
        <w:rPr>
          <w:rFonts w:ascii="Tahoma" w:eastAsia="Times New Roman" w:hAnsi="Tahoma" w:cs="Tahoma"/>
          <w:bCs/>
          <w:color w:val="auto"/>
        </w:rPr>
      </w:pPr>
    </w:p>
    <w:p w:rsidR="00F344D5" w:rsidRPr="00CA76CA" w:rsidRDefault="00F344D5" w:rsidP="004B7B3F">
      <w:pPr>
        <w:spacing w:before="0" w:after="0"/>
        <w:jc w:val="both"/>
        <w:rPr>
          <w:rFonts w:ascii="Tahoma" w:eastAsia="Times New Roman" w:hAnsi="Tahoma" w:cs="Tahoma"/>
          <w:bCs/>
          <w:color w:val="auto"/>
        </w:rPr>
      </w:pPr>
      <w:r w:rsidRPr="00CA76CA">
        <w:rPr>
          <w:rFonts w:ascii="Tahoma" w:eastAsia="Times New Roman" w:hAnsi="Tahoma" w:cs="Tahoma"/>
          <w:bCs/>
          <w:color w:val="auto"/>
        </w:rPr>
        <w:t>Por</w:t>
      </w:r>
      <w:r w:rsidR="00D34898" w:rsidRPr="00CA76CA">
        <w:rPr>
          <w:rFonts w:ascii="Tahoma" w:eastAsia="Times New Roman" w:hAnsi="Tahoma" w:cs="Tahoma"/>
          <w:bCs/>
          <w:color w:val="auto"/>
        </w:rPr>
        <w:t xml:space="preserve"> lo anterior, se observó que la entidad Territorial, </w:t>
      </w:r>
      <w:r w:rsidRPr="00CA76CA">
        <w:rPr>
          <w:rFonts w:ascii="Tahoma" w:eastAsia="Times New Roman" w:hAnsi="Tahoma" w:cs="Tahoma"/>
          <w:bCs/>
          <w:color w:val="auto"/>
        </w:rPr>
        <w:t xml:space="preserve">cumplió con lo Establecido en la ley 617 de 2000, toda vez que le transfirió </w:t>
      </w:r>
      <w:r w:rsidR="00425FF4" w:rsidRPr="00CA76CA">
        <w:rPr>
          <w:rFonts w:ascii="Tahoma" w:eastAsia="Times New Roman" w:hAnsi="Tahoma" w:cs="Tahoma"/>
          <w:bCs/>
          <w:color w:val="auto"/>
        </w:rPr>
        <w:t xml:space="preserve">inicialmente </w:t>
      </w:r>
      <w:r w:rsidRPr="00CA76CA">
        <w:rPr>
          <w:rFonts w:ascii="Tahoma" w:eastAsia="Times New Roman" w:hAnsi="Tahoma" w:cs="Tahoma"/>
          <w:bCs/>
          <w:color w:val="auto"/>
        </w:rPr>
        <w:t xml:space="preserve">a la personería Municipal la suma de </w:t>
      </w:r>
      <w:r w:rsidR="00425FF4" w:rsidRPr="00CA76CA">
        <w:rPr>
          <w:rFonts w:ascii="Tahoma" w:eastAsia="Times New Roman" w:hAnsi="Tahoma" w:cs="Tahoma"/>
          <w:bCs/>
          <w:color w:val="auto"/>
        </w:rPr>
        <w:t>$92 millones y presentó adiciones presupuestales en la suma de $4</w:t>
      </w:r>
      <w:r w:rsidR="00B401FB">
        <w:rPr>
          <w:rFonts w:ascii="Tahoma" w:eastAsia="Times New Roman" w:hAnsi="Tahoma" w:cs="Tahoma"/>
          <w:bCs/>
          <w:color w:val="auto"/>
        </w:rPr>
        <w:t xml:space="preserve"> </w:t>
      </w:r>
      <w:r w:rsidR="00425FF4" w:rsidRPr="00CA76CA">
        <w:rPr>
          <w:rFonts w:ascii="Tahoma" w:eastAsia="Times New Roman" w:hAnsi="Tahoma" w:cs="Tahoma"/>
          <w:bCs/>
          <w:color w:val="auto"/>
        </w:rPr>
        <w:t xml:space="preserve">millones para un presupuesto definitivo de </w:t>
      </w:r>
      <w:r w:rsidRPr="00CA76CA">
        <w:rPr>
          <w:rFonts w:ascii="Tahoma" w:eastAsia="Times New Roman" w:hAnsi="Tahoma" w:cs="Tahoma"/>
          <w:bCs/>
          <w:color w:val="auto"/>
        </w:rPr>
        <w:t>$</w:t>
      </w:r>
      <w:r w:rsidR="00D34898" w:rsidRPr="00CA76CA">
        <w:rPr>
          <w:rFonts w:ascii="Tahoma" w:eastAsia="Times New Roman" w:hAnsi="Tahoma" w:cs="Tahoma"/>
          <w:bCs/>
          <w:color w:val="auto"/>
        </w:rPr>
        <w:t>96</w:t>
      </w:r>
      <w:r w:rsidR="00425FF4" w:rsidRPr="00CA76CA">
        <w:rPr>
          <w:rFonts w:ascii="Tahoma" w:eastAsia="Times New Roman" w:hAnsi="Tahoma" w:cs="Tahoma"/>
          <w:bCs/>
          <w:color w:val="auto"/>
        </w:rPr>
        <w:t xml:space="preserve"> millones</w:t>
      </w:r>
      <w:r w:rsidRPr="00CA76CA">
        <w:rPr>
          <w:rFonts w:ascii="Tahoma" w:eastAsia="Times New Roman" w:hAnsi="Tahoma" w:cs="Tahoma"/>
          <w:bCs/>
          <w:color w:val="auto"/>
        </w:rPr>
        <w:t xml:space="preserve">,  equivalentes a </w:t>
      </w:r>
      <w:r w:rsidR="00D34898" w:rsidRPr="00CA76CA">
        <w:rPr>
          <w:rFonts w:ascii="Tahoma" w:eastAsia="Times New Roman" w:hAnsi="Tahoma" w:cs="Tahoma"/>
          <w:bCs/>
          <w:color w:val="auto"/>
        </w:rPr>
        <w:t>150</w:t>
      </w:r>
      <w:r w:rsidRPr="00CA76CA">
        <w:rPr>
          <w:rFonts w:ascii="Tahoma" w:eastAsia="Times New Roman" w:hAnsi="Tahoma" w:cs="Tahoma"/>
          <w:bCs/>
          <w:color w:val="auto"/>
        </w:rPr>
        <w:t xml:space="preserve"> SM</w:t>
      </w:r>
      <w:r w:rsidR="00D34898" w:rsidRPr="00CA76CA">
        <w:rPr>
          <w:rFonts w:ascii="Tahoma" w:eastAsia="Times New Roman" w:hAnsi="Tahoma" w:cs="Tahoma"/>
          <w:bCs/>
          <w:color w:val="auto"/>
        </w:rPr>
        <w:t>M</w:t>
      </w:r>
      <w:r w:rsidR="00425FF4" w:rsidRPr="00CA76CA">
        <w:rPr>
          <w:rFonts w:ascii="Tahoma" w:eastAsia="Times New Roman" w:hAnsi="Tahoma" w:cs="Tahoma"/>
          <w:bCs/>
          <w:color w:val="auto"/>
        </w:rPr>
        <w:t>V, ver tabla.</w:t>
      </w:r>
    </w:p>
    <w:p w:rsidR="00425FF4" w:rsidRPr="00A05F58" w:rsidRDefault="00425FF4" w:rsidP="004B7B3F">
      <w:pPr>
        <w:spacing w:before="0" w:after="0"/>
        <w:jc w:val="both"/>
        <w:rPr>
          <w:rFonts w:eastAsia="Times New Roman"/>
          <w:bCs/>
          <w:color w:val="auto"/>
          <w:sz w:val="20"/>
          <w:szCs w:val="20"/>
        </w:rPr>
      </w:pPr>
    </w:p>
    <w:tbl>
      <w:tblPr>
        <w:tblStyle w:val="Tablaconcuadrcula"/>
        <w:tblW w:w="0" w:type="auto"/>
        <w:tblLook w:val="04A0" w:firstRow="1" w:lastRow="0" w:firstColumn="1" w:lastColumn="0" w:noHBand="0" w:noVBand="1"/>
      </w:tblPr>
      <w:tblGrid>
        <w:gridCol w:w="2245"/>
        <w:gridCol w:w="2245"/>
        <w:gridCol w:w="2245"/>
        <w:gridCol w:w="2245"/>
      </w:tblGrid>
      <w:tr w:rsidR="00425FF4" w:rsidTr="00425FF4">
        <w:tc>
          <w:tcPr>
            <w:tcW w:w="2245" w:type="dxa"/>
          </w:tcPr>
          <w:p w:rsidR="00425FF4" w:rsidRDefault="00425FF4" w:rsidP="00B212CE">
            <w:pPr>
              <w:jc w:val="center"/>
              <w:rPr>
                <w:lang w:val="es-ES" w:eastAsia="es-ES"/>
              </w:rPr>
            </w:pPr>
            <w:r>
              <w:rPr>
                <w:lang w:val="es-ES" w:eastAsia="es-ES"/>
              </w:rPr>
              <w:t>Presupuesto Inicial</w:t>
            </w:r>
          </w:p>
        </w:tc>
        <w:tc>
          <w:tcPr>
            <w:tcW w:w="2245" w:type="dxa"/>
          </w:tcPr>
          <w:p w:rsidR="00425FF4" w:rsidRDefault="00425FF4" w:rsidP="00B212CE">
            <w:pPr>
              <w:jc w:val="center"/>
              <w:rPr>
                <w:lang w:val="es-ES" w:eastAsia="es-ES"/>
              </w:rPr>
            </w:pPr>
            <w:r>
              <w:rPr>
                <w:lang w:val="es-ES" w:eastAsia="es-ES"/>
              </w:rPr>
              <w:t>Adiciones</w:t>
            </w:r>
          </w:p>
        </w:tc>
        <w:tc>
          <w:tcPr>
            <w:tcW w:w="2245" w:type="dxa"/>
          </w:tcPr>
          <w:p w:rsidR="00425FF4" w:rsidRDefault="00425FF4" w:rsidP="00B212CE">
            <w:pPr>
              <w:jc w:val="center"/>
              <w:rPr>
                <w:lang w:val="es-ES" w:eastAsia="es-ES"/>
              </w:rPr>
            </w:pPr>
            <w:r>
              <w:rPr>
                <w:lang w:val="es-ES" w:eastAsia="es-ES"/>
              </w:rPr>
              <w:t>Presupuesto Definitivo</w:t>
            </w:r>
          </w:p>
        </w:tc>
        <w:tc>
          <w:tcPr>
            <w:tcW w:w="2245" w:type="dxa"/>
          </w:tcPr>
          <w:p w:rsidR="00425FF4" w:rsidRDefault="00425FF4" w:rsidP="00B212CE">
            <w:pPr>
              <w:jc w:val="center"/>
              <w:rPr>
                <w:lang w:val="es-ES" w:eastAsia="es-ES"/>
              </w:rPr>
            </w:pPr>
            <w:r>
              <w:rPr>
                <w:lang w:val="es-ES" w:eastAsia="es-ES"/>
              </w:rPr>
              <w:t>Total Comprometido</w:t>
            </w:r>
          </w:p>
        </w:tc>
      </w:tr>
      <w:tr w:rsidR="00425FF4" w:rsidTr="00425FF4">
        <w:tc>
          <w:tcPr>
            <w:tcW w:w="2245" w:type="dxa"/>
          </w:tcPr>
          <w:p w:rsidR="00425FF4" w:rsidRDefault="00425FF4" w:rsidP="00425FF4">
            <w:pPr>
              <w:jc w:val="right"/>
              <w:rPr>
                <w:lang w:val="es-ES" w:eastAsia="es-ES"/>
              </w:rPr>
            </w:pPr>
            <w:r>
              <w:rPr>
                <w:lang w:val="es-ES" w:eastAsia="es-ES"/>
              </w:rPr>
              <w:t>$92.400.000</w:t>
            </w:r>
          </w:p>
        </w:tc>
        <w:tc>
          <w:tcPr>
            <w:tcW w:w="2245" w:type="dxa"/>
          </w:tcPr>
          <w:p w:rsidR="00425FF4" w:rsidRDefault="00425FF4" w:rsidP="00425FF4">
            <w:pPr>
              <w:jc w:val="right"/>
              <w:rPr>
                <w:lang w:val="es-ES" w:eastAsia="es-ES"/>
              </w:rPr>
            </w:pPr>
            <w:r>
              <w:rPr>
                <w:lang w:val="es-ES" w:eastAsia="es-ES"/>
              </w:rPr>
              <w:t>$4.252.500</w:t>
            </w:r>
          </w:p>
        </w:tc>
        <w:tc>
          <w:tcPr>
            <w:tcW w:w="2245" w:type="dxa"/>
          </w:tcPr>
          <w:p w:rsidR="00425FF4" w:rsidRDefault="00425FF4" w:rsidP="00425FF4">
            <w:pPr>
              <w:jc w:val="right"/>
              <w:rPr>
                <w:lang w:val="es-ES" w:eastAsia="es-ES"/>
              </w:rPr>
            </w:pPr>
            <w:r>
              <w:rPr>
                <w:lang w:val="es-ES" w:eastAsia="es-ES"/>
              </w:rPr>
              <w:t>$96.652.500</w:t>
            </w:r>
          </w:p>
        </w:tc>
        <w:tc>
          <w:tcPr>
            <w:tcW w:w="2245" w:type="dxa"/>
          </w:tcPr>
          <w:p w:rsidR="00425FF4" w:rsidRDefault="00425FF4" w:rsidP="00425FF4">
            <w:pPr>
              <w:jc w:val="right"/>
              <w:rPr>
                <w:lang w:val="es-ES" w:eastAsia="es-ES"/>
              </w:rPr>
            </w:pPr>
            <w:r>
              <w:rPr>
                <w:lang w:val="es-ES" w:eastAsia="es-ES"/>
              </w:rPr>
              <w:t>$96.652.500</w:t>
            </w:r>
          </w:p>
        </w:tc>
      </w:tr>
    </w:tbl>
    <w:p w:rsidR="00B212CE" w:rsidRPr="00776215" w:rsidRDefault="00B212CE" w:rsidP="00B212CE">
      <w:pPr>
        <w:jc w:val="center"/>
        <w:rPr>
          <w:rFonts w:ascii="Tahoma" w:hAnsi="Tahoma" w:cs="Tahoma"/>
          <w:lang w:val="es-ES" w:eastAsia="es-ES"/>
        </w:rPr>
      </w:pPr>
    </w:p>
    <w:p w:rsidR="00B212CE" w:rsidRPr="00776215" w:rsidRDefault="00B212CE" w:rsidP="00B212CE">
      <w:pPr>
        <w:spacing w:before="0" w:after="0"/>
        <w:jc w:val="center"/>
        <w:rPr>
          <w:rFonts w:ascii="Tahoma" w:hAnsi="Tahoma" w:cs="Tahoma"/>
          <w:b/>
        </w:rPr>
      </w:pPr>
      <w:r w:rsidRPr="00776215">
        <w:rPr>
          <w:rFonts w:ascii="Tahoma" w:hAnsi="Tahoma" w:cs="Tahoma"/>
          <w:b/>
        </w:rPr>
        <w:t>CAPITULO 4</w:t>
      </w:r>
    </w:p>
    <w:p w:rsidR="008C7A2F" w:rsidRPr="00776215" w:rsidRDefault="008C7A2F" w:rsidP="00B212CE">
      <w:pPr>
        <w:spacing w:before="0" w:after="0"/>
        <w:jc w:val="center"/>
        <w:rPr>
          <w:rFonts w:ascii="Tahoma" w:hAnsi="Tahoma" w:cs="Tahoma"/>
          <w:b/>
        </w:rPr>
      </w:pPr>
      <w:r w:rsidRPr="00776215">
        <w:rPr>
          <w:rFonts w:ascii="Tahoma" w:hAnsi="Tahoma" w:cs="Tahoma"/>
          <w:b/>
        </w:rPr>
        <w:t>RESULTADO ANALISIS</w:t>
      </w:r>
    </w:p>
    <w:p w:rsidR="00776215" w:rsidRPr="00776215" w:rsidRDefault="00776215" w:rsidP="00B212CE">
      <w:pPr>
        <w:spacing w:before="0" w:after="0"/>
        <w:jc w:val="center"/>
        <w:rPr>
          <w:rFonts w:ascii="Tahoma" w:hAnsi="Tahoma" w:cs="Tahoma"/>
          <w:b/>
        </w:rPr>
      </w:pPr>
    </w:p>
    <w:p w:rsidR="00B212CE" w:rsidRPr="00776215" w:rsidRDefault="008C7A2F" w:rsidP="008C7A2F">
      <w:pPr>
        <w:rPr>
          <w:rFonts w:ascii="Tahoma" w:hAnsi="Tahoma" w:cs="Tahoma"/>
          <w:b/>
          <w:lang w:val="es-ES" w:eastAsia="es-ES"/>
        </w:rPr>
      </w:pPr>
      <w:r w:rsidRPr="00776215">
        <w:rPr>
          <w:rFonts w:ascii="Tahoma" w:hAnsi="Tahoma" w:cs="Tahoma"/>
          <w:b/>
          <w:lang w:val="es-ES" w:eastAsia="es-ES"/>
        </w:rPr>
        <w:t xml:space="preserve">4.1  </w:t>
      </w:r>
      <w:r w:rsidR="00B212CE" w:rsidRPr="00776215">
        <w:rPr>
          <w:rFonts w:ascii="Tahoma" w:hAnsi="Tahoma" w:cs="Tahoma"/>
          <w:b/>
          <w:lang w:val="es-ES" w:eastAsia="es-ES"/>
        </w:rPr>
        <w:t>RESULTADO DEL ANALISIS</w:t>
      </w:r>
      <w:r w:rsidRPr="00776215">
        <w:rPr>
          <w:rFonts w:ascii="Tahoma" w:hAnsi="Tahoma" w:cs="Tahoma"/>
          <w:b/>
          <w:lang w:val="es-ES" w:eastAsia="es-ES"/>
        </w:rPr>
        <w:t xml:space="preserve"> INDICADOR LEY 617 DE 2000</w:t>
      </w:r>
    </w:p>
    <w:p w:rsidR="00BD4C82" w:rsidRDefault="00B212CE" w:rsidP="00776215">
      <w:pPr>
        <w:jc w:val="both"/>
      </w:pPr>
      <w:r w:rsidRPr="00776215">
        <w:rPr>
          <w:rFonts w:ascii="Tahoma" w:hAnsi="Tahoma" w:cs="Tahoma"/>
        </w:rPr>
        <w:t xml:space="preserve">Como resultado de la evaluación realizada por La Contraloría </w:t>
      </w:r>
      <w:r w:rsidR="00F344D5" w:rsidRPr="00776215">
        <w:rPr>
          <w:rFonts w:ascii="Tahoma" w:hAnsi="Tahoma" w:cs="Tahoma"/>
        </w:rPr>
        <w:t>Departamental del Tolima</w:t>
      </w:r>
      <w:r w:rsidRPr="00776215">
        <w:rPr>
          <w:rFonts w:ascii="Tahoma" w:hAnsi="Tahoma" w:cs="Tahoma"/>
        </w:rPr>
        <w:t xml:space="preserve">, se estableció que el </w:t>
      </w:r>
      <w:r w:rsidR="00F344D5" w:rsidRPr="00776215">
        <w:rPr>
          <w:rFonts w:ascii="Tahoma" w:hAnsi="Tahoma" w:cs="Tahoma"/>
        </w:rPr>
        <w:t>M</w:t>
      </w:r>
      <w:r w:rsidRPr="00776215">
        <w:rPr>
          <w:rFonts w:ascii="Tahoma" w:hAnsi="Tahoma" w:cs="Tahoma"/>
        </w:rPr>
        <w:t xml:space="preserve">unicipio de </w:t>
      </w:r>
      <w:r w:rsidR="00F344D5" w:rsidRPr="00776215">
        <w:rPr>
          <w:rFonts w:ascii="Tahoma" w:hAnsi="Tahoma" w:cs="Tahoma"/>
        </w:rPr>
        <w:t xml:space="preserve">Lérida Tolima, </w:t>
      </w:r>
      <w:r w:rsidRPr="00776215">
        <w:rPr>
          <w:rFonts w:ascii="Tahoma" w:hAnsi="Tahoma" w:cs="Tahoma"/>
        </w:rPr>
        <w:t xml:space="preserve">ha venido cumpliendo con el indicador de ley 617 de 2000 </w:t>
      </w:r>
      <w:r w:rsidR="00D534DF" w:rsidRPr="00776215">
        <w:rPr>
          <w:rFonts w:ascii="Tahoma" w:hAnsi="Tahoma" w:cs="Tahoma"/>
        </w:rPr>
        <w:t>en las últimas dos vigencias</w:t>
      </w:r>
      <w:r w:rsidR="00CA6D9C" w:rsidRPr="00776215">
        <w:rPr>
          <w:rFonts w:ascii="Tahoma" w:hAnsi="Tahoma" w:cs="Tahoma"/>
        </w:rPr>
        <w:t xml:space="preserve"> y el indicador de Gastos de Funcionamiento se redujo en un 7.47% en relación a la vigencia 2014</w:t>
      </w:r>
      <w:r w:rsidR="00D534DF" w:rsidRPr="00776215">
        <w:rPr>
          <w:rFonts w:ascii="Tahoma" w:hAnsi="Tahoma" w:cs="Tahoma"/>
        </w:rPr>
        <w:t xml:space="preserve"> como se evidencia a continuación</w:t>
      </w:r>
      <w:r w:rsidR="00D534DF">
        <w:t>:</w:t>
      </w:r>
    </w:p>
    <w:p w:rsidR="00CA76CA" w:rsidRDefault="00CA76CA" w:rsidP="00776215">
      <w:pPr>
        <w:jc w:val="both"/>
      </w:pPr>
    </w:p>
    <w:tbl>
      <w:tblPr>
        <w:tblW w:w="6986" w:type="dxa"/>
        <w:jc w:val="center"/>
        <w:tblCellMar>
          <w:left w:w="70" w:type="dxa"/>
          <w:right w:w="70" w:type="dxa"/>
        </w:tblCellMar>
        <w:tblLook w:val="04A0" w:firstRow="1" w:lastRow="0" w:firstColumn="1" w:lastColumn="0" w:noHBand="0" w:noVBand="1"/>
      </w:tblPr>
      <w:tblGrid>
        <w:gridCol w:w="3609"/>
        <w:gridCol w:w="1622"/>
        <w:gridCol w:w="1755"/>
      </w:tblGrid>
      <w:tr w:rsidR="00FF4F90" w:rsidRPr="00FF4F90" w:rsidTr="00231ECA">
        <w:trPr>
          <w:trHeight w:val="264"/>
          <w:jc w:val="center"/>
        </w:trPr>
        <w:tc>
          <w:tcPr>
            <w:tcW w:w="698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4F90" w:rsidRPr="00FF4F90" w:rsidRDefault="00FF4F90" w:rsidP="00FF4F90">
            <w:pPr>
              <w:spacing w:before="0" w:after="0"/>
              <w:jc w:val="center"/>
              <w:rPr>
                <w:rFonts w:eastAsia="Times New Roman"/>
                <w:b/>
                <w:bCs/>
                <w:color w:val="auto"/>
                <w:sz w:val="20"/>
                <w:szCs w:val="20"/>
              </w:rPr>
            </w:pPr>
            <w:r w:rsidRPr="00FF4F90">
              <w:rPr>
                <w:rFonts w:eastAsia="Times New Roman"/>
                <w:b/>
                <w:bCs/>
                <w:color w:val="auto"/>
                <w:sz w:val="20"/>
                <w:szCs w:val="20"/>
              </w:rPr>
              <w:t>EVALUACIÓN DE GASTOS DE FUNCIONAMIENTO</w:t>
            </w:r>
          </w:p>
        </w:tc>
      </w:tr>
      <w:tr w:rsidR="00FF4F90" w:rsidRPr="00FF4F90" w:rsidTr="00231ECA">
        <w:trPr>
          <w:trHeight w:val="264"/>
          <w:jc w:val="center"/>
        </w:trPr>
        <w:tc>
          <w:tcPr>
            <w:tcW w:w="698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4F90" w:rsidRPr="00FF4F90" w:rsidRDefault="00FF4F90" w:rsidP="00FF4F90">
            <w:pPr>
              <w:spacing w:before="0" w:after="0"/>
              <w:jc w:val="center"/>
              <w:rPr>
                <w:rFonts w:eastAsia="Times New Roman"/>
                <w:color w:val="auto"/>
                <w:sz w:val="20"/>
                <w:szCs w:val="20"/>
              </w:rPr>
            </w:pPr>
            <w:r w:rsidRPr="00FF4F90">
              <w:rPr>
                <w:rFonts w:eastAsia="Times New Roman"/>
                <w:color w:val="auto"/>
                <w:sz w:val="20"/>
                <w:szCs w:val="20"/>
              </w:rPr>
              <w:t>ADMINISTRACIÓN CENTRAL</w:t>
            </w:r>
          </w:p>
        </w:tc>
      </w:tr>
      <w:tr w:rsidR="00FF4F90" w:rsidRPr="00FF4F90" w:rsidTr="00231ECA">
        <w:trPr>
          <w:trHeight w:val="264"/>
          <w:jc w:val="center"/>
        </w:trPr>
        <w:tc>
          <w:tcPr>
            <w:tcW w:w="698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4F90" w:rsidRPr="00FF4F90" w:rsidRDefault="00FF4F90" w:rsidP="00FF4F90">
            <w:pPr>
              <w:spacing w:before="0" w:after="0"/>
              <w:jc w:val="center"/>
              <w:rPr>
                <w:rFonts w:eastAsia="Times New Roman"/>
                <w:b/>
                <w:bCs/>
                <w:color w:val="auto"/>
                <w:sz w:val="20"/>
                <w:szCs w:val="20"/>
              </w:rPr>
            </w:pPr>
            <w:r w:rsidRPr="00FF4F90">
              <w:rPr>
                <w:rFonts w:eastAsia="Times New Roman"/>
                <w:b/>
                <w:bCs/>
                <w:color w:val="auto"/>
                <w:sz w:val="20"/>
                <w:szCs w:val="20"/>
              </w:rPr>
              <w:t>MUNICIPIO DE LERIDA</w:t>
            </w:r>
          </w:p>
        </w:tc>
      </w:tr>
      <w:tr w:rsidR="00FF4F90" w:rsidRPr="00FF4F90" w:rsidTr="00231ECA">
        <w:trPr>
          <w:trHeight w:val="264"/>
          <w:jc w:val="center"/>
        </w:trPr>
        <w:tc>
          <w:tcPr>
            <w:tcW w:w="3609" w:type="dxa"/>
            <w:tcBorders>
              <w:top w:val="nil"/>
              <w:left w:val="single" w:sz="4" w:space="0" w:color="auto"/>
              <w:bottom w:val="single" w:sz="4" w:space="0" w:color="auto"/>
              <w:right w:val="single" w:sz="4" w:space="0" w:color="auto"/>
            </w:tcBorders>
            <w:shd w:val="clear" w:color="auto" w:fill="auto"/>
            <w:noWrap/>
            <w:vAlign w:val="bottom"/>
            <w:hideMark/>
          </w:tcPr>
          <w:p w:rsidR="00FF4F90" w:rsidRPr="00FF4F90" w:rsidRDefault="00FF4F90" w:rsidP="00FF4F90">
            <w:pPr>
              <w:spacing w:before="0" w:after="0"/>
              <w:rPr>
                <w:rFonts w:eastAsia="Times New Roman"/>
                <w:color w:val="auto"/>
                <w:sz w:val="20"/>
                <w:szCs w:val="20"/>
              </w:rPr>
            </w:pPr>
            <w:r w:rsidRPr="00FF4F90">
              <w:rPr>
                <w:rFonts w:eastAsia="Times New Roman"/>
                <w:color w:val="auto"/>
                <w:sz w:val="20"/>
                <w:szCs w:val="20"/>
              </w:rPr>
              <w:t> </w:t>
            </w:r>
          </w:p>
        </w:tc>
        <w:tc>
          <w:tcPr>
            <w:tcW w:w="1622" w:type="dxa"/>
            <w:tcBorders>
              <w:top w:val="nil"/>
              <w:left w:val="nil"/>
              <w:bottom w:val="single" w:sz="4" w:space="0" w:color="auto"/>
              <w:right w:val="single" w:sz="4" w:space="0" w:color="auto"/>
            </w:tcBorders>
            <w:shd w:val="clear" w:color="auto" w:fill="auto"/>
            <w:noWrap/>
            <w:vAlign w:val="bottom"/>
            <w:hideMark/>
          </w:tcPr>
          <w:p w:rsidR="00FF4F90" w:rsidRPr="00FF4F90" w:rsidRDefault="00FF4F90" w:rsidP="00FF4F90">
            <w:pPr>
              <w:spacing w:before="0" w:after="0"/>
              <w:rPr>
                <w:rFonts w:eastAsia="Times New Roman"/>
                <w:b/>
                <w:bCs/>
                <w:color w:val="auto"/>
                <w:sz w:val="18"/>
                <w:szCs w:val="18"/>
              </w:rPr>
            </w:pPr>
            <w:r w:rsidRPr="00FF4F90">
              <w:rPr>
                <w:rFonts w:eastAsia="Times New Roman"/>
                <w:b/>
                <w:bCs/>
                <w:color w:val="auto"/>
                <w:sz w:val="18"/>
                <w:szCs w:val="18"/>
              </w:rPr>
              <w:t xml:space="preserve"> VIGENCIA 2014 </w:t>
            </w:r>
          </w:p>
        </w:tc>
        <w:tc>
          <w:tcPr>
            <w:tcW w:w="1755" w:type="dxa"/>
            <w:tcBorders>
              <w:top w:val="nil"/>
              <w:left w:val="nil"/>
              <w:bottom w:val="single" w:sz="4" w:space="0" w:color="auto"/>
              <w:right w:val="single" w:sz="4" w:space="0" w:color="auto"/>
            </w:tcBorders>
            <w:shd w:val="clear" w:color="auto" w:fill="auto"/>
            <w:noWrap/>
            <w:vAlign w:val="bottom"/>
            <w:hideMark/>
          </w:tcPr>
          <w:p w:rsidR="00FF4F90" w:rsidRPr="00FF4F90" w:rsidRDefault="00FF4F90" w:rsidP="00FF4F90">
            <w:pPr>
              <w:spacing w:before="0" w:after="0"/>
              <w:rPr>
                <w:rFonts w:eastAsia="Times New Roman"/>
                <w:b/>
                <w:bCs/>
                <w:color w:val="auto"/>
                <w:sz w:val="18"/>
                <w:szCs w:val="18"/>
              </w:rPr>
            </w:pPr>
            <w:r w:rsidRPr="00FF4F90">
              <w:rPr>
                <w:rFonts w:eastAsia="Times New Roman"/>
                <w:b/>
                <w:bCs/>
                <w:color w:val="auto"/>
                <w:sz w:val="18"/>
                <w:szCs w:val="18"/>
              </w:rPr>
              <w:t xml:space="preserve"> VIGENCIA 2015 </w:t>
            </w:r>
          </w:p>
        </w:tc>
      </w:tr>
      <w:tr w:rsidR="00FF4F90" w:rsidRPr="00FF4F90" w:rsidTr="00231ECA">
        <w:trPr>
          <w:trHeight w:val="264"/>
          <w:jc w:val="center"/>
        </w:trPr>
        <w:tc>
          <w:tcPr>
            <w:tcW w:w="3609" w:type="dxa"/>
            <w:tcBorders>
              <w:top w:val="nil"/>
              <w:left w:val="single" w:sz="4" w:space="0" w:color="auto"/>
              <w:bottom w:val="single" w:sz="4" w:space="0" w:color="auto"/>
              <w:right w:val="single" w:sz="4" w:space="0" w:color="auto"/>
            </w:tcBorders>
            <w:shd w:val="clear" w:color="auto" w:fill="auto"/>
            <w:noWrap/>
            <w:vAlign w:val="bottom"/>
            <w:hideMark/>
          </w:tcPr>
          <w:p w:rsidR="00FF4F90" w:rsidRPr="00FF4F90" w:rsidRDefault="00FF4F90" w:rsidP="00FF4F90">
            <w:pPr>
              <w:spacing w:before="0" w:after="0"/>
              <w:rPr>
                <w:rFonts w:eastAsia="Times New Roman"/>
                <w:color w:val="auto"/>
                <w:sz w:val="20"/>
                <w:szCs w:val="20"/>
              </w:rPr>
            </w:pPr>
            <w:r w:rsidRPr="00FF4F90">
              <w:rPr>
                <w:rFonts w:eastAsia="Times New Roman"/>
                <w:color w:val="auto"/>
                <w:sz w:val="20"/>
                <w:szCs w:val="20"/>
              </w:rPr>
              <w:t>DETALLE</w:t>
            </w:r>
          </w:p>
        </w:tc>
        <w:tc>
          <w:tcPr>
            <w:tcW w:w="1622" w:type="dxa"/>
            <w:tcBorders>
              <w:top w:val="nil"/>
              <w:left w:val="nil"/>
              <w:bottom w:val="single" w:sz="4" w:space="0" w:color="auto"/>
              <w:right w:val="single" w:sz="4" w:space="0" w:color="auto"/>
            </w:tcBorders>
            <w:shd w:val="clear" w:color="auto" w:fill="auto"/>
            <w:noWrap/>
            <w:vAlign w:val="bottom"/>
            <w:hideMark/>
          </w:tcPr>
          <w:p w:rsidR="00FF4F90" w:rsidRPr="00FF4F90" w:rsidRDefault="00FF4F90" w:rsidP="00FF4F90">
            <w:pPr>
              <w:spacing w:before="0" w:after="0"/>
              <w:jc w:val="center"/>
              <w:rPr>
                <w:rFonts w:eastAsia="Times New Roman"/>
                <w:color w:val="auto"/>
                <w:sz w:val="18"/>
                <w:szCs w:val="18"/>
              </w:rPr>
            </w:pPr>
            <w:r w:rsidRPr="00FF4F90">
              <w:rPr>
                <w:rFonts w:eastAsia="Times New Roman"/>
                <w:color w:val="auto"/>
                <w:sz w:val="18"/>
                <w:szCs w:val="18"/>
              </w:rPr>
              <w:t xml:space="preserve"> VALOR </w:t>
            </w:r>
          </w:p>
        </w:tc>
        <w:tc>
          <w:tcPr>
            <w:tcW w:w="1755" w:type="dxa"/>
            <w:tcBorders>
              <w:top w:val="nil"/>
              <w:left w:val="nil"/>
              <w:bottom w:val="single" w:sz="4" w:space="0" w:color="auto"/>
              <w:right w:val="single" w:sz="4" w:space="0" w:color="auto"/>
            </w:tcBorders>
            <w:shd w:val="clear" w:color="auto" w:fill="auto"/>
            <w:noWrap/>
            <w:vAlign w:val="bottom"/>
            <w:hideMark/>
          </w:tcPr>
          <w:p w:rsidR="00FF4F90" w:rsidRPr="00FF4F90" w:rsidRDefault="00FF4F90" w:rsidP="00FF4F90">
            <w:pPr>
              <w:spacing w:before="0" w:after="0"/>
              <w:jc w:val="center"/>
              <w:rPr>
                <w:rFonts w:eastAsia="Times New Roman"/>
                <w:color w:val="auto"/>
                <w:sz w:val="18"/>
                <w:szCs w:val="18"/>
              </w:rPr>
            </w:pPr>
            <w:r w:rsidRPr="00FF4F90">
              <w:rPr>
                <w:rFonts w:eastAsia="Times New Roman"/>
                <w:color w:val="auto"/>
                <w:sz w:val="18"/>
                <w:szCs w:val="18"/>
              </w:rPr>
              <w:t xml:space="preserve"> VALOR </w:t>
            </w:r>
          </w:p>
        </w:tc>
      </w:tr>
      <w:tr w:rsidR="00FF4F90" w:rsidRPr="00FF4F90" w:rsidTr="00231ECA">
        <w:trPr>
          <w:trHeight w:val="264"/>
          <w:jc w:val="center"/>
        </w:trPr>
        <w:tc>
          <w:tcPr>
            <w:tcW w:w="3609" w:type="dxa"/>
            <w:tcBorders>
              <w:top w:val="nil"/>
              <w:left w:val="single" w:sz="4" w:space="0" w:color="auto"/>
              <w:bottom w:val="single" w:sz="4" w:space="0" w:color="auto"/>
              <w:right w:val="single" w:sz="4" w:space="0" w:color="auto"/>
            </w:tcBorders>
            <w:shd w:val="clear" w:color="auto" w:fill="auto"/>
            <w:noWrap/>
            <w:vAlign w:val="bottom"/>
            <w:hideMark/>
          </w:tcPr>
          <w:p w:rsidR="00FF4F90" w:rsidRPr="00FF4F90" w:rsidRDefault="00FF4F90" w:rsidP="00FF4F90">
            <w:pPr>
              <w:spacing w:before="0" w:after="0"/>
              <w:rPr>
                <w:rFonts w:eastAsia="Times New Roman"/>
                <w:color w:val="auto"/>
                <w:sz w:val="20"/>
                <w:szCs w:val="20"/>
              </w:rPr>
            </w:pPr>
            <w:r w:rsidRPr="00FF4F90">
              <w:rPr>
                <w:rFonts w:eastAsia="Times New Roman"/>
                <w:color w:val="auto"/>
                <w:sz w:val="20"/>
                <w:szCs w:val="20"/>
              </w:rPr>
              <w:t>ICLD</w:t>
            </w:r>
          </w:p>
        </w:tc>
        <w:tc>
          <w:tcPr>
            <w:tcW w:w="1622" w:type="dxa"/>
            <w:tcBorders>
              <w:top w:val="nil"/>
              <w:left w:val="nil"/>
              <w:bottom w:val="single" w:sz="4" w:space="0" w:color="auto"/>
              <w:right w:val="single" w:sz="4" w:space="0" w:color="auto"/>
            </w:tcBorders>
            <w:shd w:val="clear" w:color="auto" w:fill="auto"/>
            <w:noWrap/>
            <w:vAlign w:val="bottom"/>
            <w:hideMark/>
          </w:tcPr>
          <w:p w:rsidR="00FF4F90" w:rsidRPr="00FF4F90" w:rsidRDefault="00FF4F90" w:rsidP="00E55115">
            <w:pPr>
              <w:spacing w:before="0" w:after="0"/>
              <w:jc w:val="right"/>
              <w:rPr>
                <w:rFonts w:eastAsia="Times New Roman"/>
                <w:color w:val="auto"/>
                <w:sz w:val="20"/>
                <w:szCs w:val="20"/>
              </w:rPr>
            </w:pPr>
            <w:r w:rsidRPr="00FF4F90">
              <w:rPr>
                <w:rFonts w:eastAsia="Times New Roman"/>
                <w:color w:val="auto"/>
                <w:sz w:val="20"/>
                <w:szCs w:val="20"/>
              </w:rPr>
              <w:t xml:space="preserve">       </w:t>
            </w:r>
            <w:r w:rsidR="00E55115">
              <w:rPr>
                <w:rFonts w:eastAsia="Times New Roman"/>
                <w:color w:val="auto"/>
                <w:sz w:val="20"/>
                <w:szCs w:val="20"/>
              </w:rPr>
              <w:t>$</w:t>
            </w:r>
            <w:r w:rsidRPr="00FF4F90">
              <w:rPr>
                <w:rFonts w:eastAsia="Times New Roman"/>
                <w:color w:val="auto"/>
                <w:sz w:val="20"/>
                <w:szCs w:val="20"/>
              </w:rPr>
              <w:t xml:space="preserve">4,319,299 </w:t>
            </w:r>
          </w:p>
        </w:tc>
        <w:tc>
          <w:tcPr>
            <w:tcW w:w="1755" w:type="dxa"/>
            <w:tcBorders>
              <w:top w:val="nil"/>
              <w:left w:val="nil"/>
              <w:bottom w:val="single" w:sz="4" w:space="0" w:color="auto"/>
              <w:right w:val="single" w:sz="4" w:space="0" w:color="auto"/>
            </w:tcBorders>
            <w:shd w:val="clear" w:color="auto" w:fill="auto"/>
            <w:noWrap/>
            <w:vAlign w:val="bottom"/>
            <w:hideMark/>
          </w:tcPr>
          <w:p w:rsidR="00FF4F90" w:rsidRPr="00FF4F90" w:rsidRDefault="00FF4F90" w:rsidP="00E55115">
            <w:pPr>
              <w:spacing w:before="0" w:after="0"/>
              <w:jc w:val="right"/>
              <w:rPr>
                <w:rFonts w:eastAsia="Times New Roman"/>
                <w:color w:val="auto"/>
                <w:sz w:val="18"/>
                <w:szCs w:val="18"/>
              </w:rPr>
            </w:pPr>
            <w:r w:rsidRPr="00FF4F90">
              <w:rPr>
                <w:rFonts w:eastAsia="Times New Roman"/>
                <w:color w:val="auto"/>
                <w:sz w:val="18"/>
                <w:szCs w:val="18"/>
              </w:rPr>
              <w:t xml:space="preserve">              </w:t>
            </w:r>
            <w:r w:rsidR="00E55115">
              <w:rPr>
                <w:rFonts w:eastAsia="Times New Roman"/>
                <w:color w:val="auto"/>
                <w:sz w:val="18"/>
                <w:szCs w:val="18"/>
              </w:rPr>
              <w:t>$</w:t>
            </w:r>
            <w:r w:rsidRPr="00FF4F90">
              <w:rPr>
                <w:rFonts w:eastAsia="Times New Roman"/>
                <w:color w:val="auto"/>
                <w:sz w:val="18"/>
                <w:szCs w:val="18"/>
              </w:rPr>
              <w:t xml:space="preserve">4,210,298 </w:t>
            </w:r>
          </w:p>
        </w:tc>
      </w:tr>
      <w:tr w:rsidR="00FF4F90" w:rsidRPr="00FF4F90" w:rsidTr="00231ECA">
        <w:trPr>
          <w:trHeight w:val="528"/>
          <w:jc w:val="center"/>
        </w:trPr>
        <w:tc>
          <w:tcPr>
            <w:tcW w:w="3609" w:type="dxa"/>
            <w:tcBorders>
              <w:top w:val="nil"/>
              <w:left w:val="single" w:sz="4" w:space="0" w:color="auto"/>
              <w:bottom w:val="single" w:sz="4" w:space="0" w:color="auto"/>
              <w:right w:val="single" w:sz="4" w:space="0" w:color="auto"/>
            </w:tcBorders>
            <w:shd w:val="clear" w:color="auto" w:fill="auto"/>
            <w:vAlign w:val="bottom"/>
            <w:hideMark/>
          </w:tcPr>
          <w:p w:rsidR="00FF4F90" w:rsidRPr="00FF4F90" w:rsidRDefault="00FF4F90" w:rsidP="00FF4F90">
            <w:pPr>
              <w:spacing w:before="0" w:after="0"/>
              <w:rPr>
                <w:rFonts w:eastAsia="Times New Roman"/>
                <w:color w:val="auto"/>
                <w:sz w:val="20"/>
                <w:szCs w:val="20"/>
              </w:rPr>
            </w:pPr>
            <w:r w:rsidRPr="00FF4F90">
              <w:rPr>
                <w:rFonts w:eastAsia="Times New Roman"/>
                <w:color w:val="auto"/>
                <w:sz w:val="20"/>
                <w:szCs w:val="20"/>
              </w:rPr>
              <w:t xml:space="preserve">GASTOS DE FUNCIONAMIENTO </w:t>
            </w:r>
            <w:r w:rsidRPr="00FF4F90">
              <w:rPr>
                <w:rFonts w:eastAsia="Times New Roman"/>
                <w:color w:val="auto"/>
                <w:sz w:val="20"/>
                <w:szCs w:val="20"/>
              </w:rPr>
              <w:br/>
              <w:t>BASE PARA EL INDICADOR</w:t>
            </w:r>
          </w:p>
        </w:tc>
        <w:tc>
          <w:tcPr>
            <w:tcW w:w="1622" w:type="dxa"/>
            <w:tcBorders>
              <w:top w:val="nil"/>
              <w:left w:val="nil"/>
              <w:bottom w:val="single" w:sz="4" w:space="0" w:color="auto"/>
              <w:right w:val="single" w:sz="4" w:space="0" w:color="auto"/>
            </w:tcBorders>
            <w:shd w:val="clear" w:color="auto" w:fill="auto"/>
            <w:noWrap/>
            <w:vAlign w:val="bottom"/>
            <w:hideMark/>
          </w:tcPr>
          <w:p w:rsidR="00FF4F90" w:rsidRPr="00FF4F90" w:rsidRDefault="00E55115" w:rsidP="00E55115">
            <w:pPr>
              <w:spacing w:before="0" w:after="0"/>
              <w:jc w:val="right"/>
              <w:rPr>
                <w:rFonts w:eastAsia="Times New Roman"/>
                <w:color w:val="auto"/>
                <w:sz w:val="20"/>
                <w:szCs w:val="20"/>
              </w:rPr>
            </w:pPr>
            <w:r>
              <w:rPr>
                <w:rFonts w:eastAsia="Times New Roman"/>
                <w:color w:val="auto"/>
                <w:sz w:val="20"/>
                <w:szCs w:val="20"/>
              </w:rPr>
              <w:t xml:space="preserve">     $</w:t>
            </w:r>
            <w:r w:rsidR="00FF4F90" w:rsidRPr="00FF4F90">
              <w:rPr>
                <w:rFonts w:eastAsia="Times New Roman"/>
                <w:color w:val="auto"/>
                <w:sz w:val="20"/>
                <w:szCs w:val="20"/>
              </w:rPr>
              <w:t xml:space="preserve">2,868,040 </w:t>
            </w:r>
          </w:p>
        </w:tc>
        <w:tc>
          <w:tcPr>
            <w:tcW w:w="1755" w:type="dxa"/>
            <w:tcBorders>
              <w:top w:val="nil"/>
              <w:left w:val="nil"/>
              <w:bottom w:val="single" w:sz="4" w:space="0" w:color="auto"/>
              <w:right w:val="single" w:sz="4" w:space="0" w:color="auto"/>
            </w:tcBorders>
            <w:shd w:val="clear" w:color="auto" w:fill="auto"/>
            <w:noWrap/>
            <w:vAlign w:val="bottom"/>
            <w:hideMark/>
          </w:tcPr>
          <w:p w:rsidR="00FF4F90" w:rsidRPr="00FF4F90" w:rsidRDefault="00FF4F90" w:rsidP="00E55115">
            <w:pPr>
              <w:spacing w:before="0" w:after="0"/>
              <w:jc w:val="right"/>
              <w:rPr>
                <w:rFonts w:eastAsia="Times New Roman"/>
                <w:color w:val="auto"/>
                <w:sz w:val="18"/>
                <w:szCs w:val="18"/>
              </w:rPr>
            </w:pPr>
            <w:r w:rsidRPr="00FF4F90">
              <w:rPr>
                <w:rFonts w:eastAsia="Times New Roman"/>
                <w:color w:val="auto"/>
                <w:sz w:val="18"/>
                <w:szCs w:val="18"/>
              </w:rPr>
              <w:t xml:space="preserve">              </w:t>
            </w:r>
            <w:r w:rsidR="00E55115">
              <w:rPr>
                <w:rFonts w:eastAsia="Times New Roman"/>
                <w:color w:val="auto"/>
                <w:sz w:val="18"/>
                <w:szCs w:val="18"/>
              </w:rPr>
              <w:t>$</w:t>
            </w:r>
            <w:r w:rsidRPr="00FF4F90">
              <w:rPr>
                <w:rFonts w:eastAsia="Times New Roman"/>
                <w:color w:val="auto"/>
                <w:sz w:val="18"/>
                <w:szCs w:val="18"/>
              </w:rPr>
              <w:t xml:space="preserve">2,481,230 </w:t>
            </w:r>
          </w:p>
        </w:tc>
      </w:tr>
      <w:tr w:rsidR="00FF4F90" w:rsidRPr="00FF4F90" w:rsidTr="00231ECA">
        <w:trPr>
          <w:trHeight w:val="264"/>
          <w:jc w:val="center"/>
        </w:trPr>
        <w:tc>
          <w:tcPr>
            <w:tcW w:w="3609" w:type="dxa"/>
            <w:tcBorders>
              <w:top w:val="nil"/>
              <w:left w:val="single" w:sz="4" w:space="0" w:color="auto"/>
              <w:bottom w:val="single" w:sz="4" w:space="0" w:color="auto"/>
              <w:right w:val="single" w:sz="4" w:space="0" w:color="auto"/>
            </w:tcBorders>
            <w:shd w:val="clear" w:color="auto" w:fill="auto"/>
            <w:noWrap/>
            <w:vAlign w:val="bottom"/>
            <w:hideMark/>
          </w:tcPr>
          <w:p w:rsidR="00FF4F90" w:rsidRPr="00FF4F90" w:rsidRDefault="00FF4F90" w:rsidP="00FF4F90">
            <w:pPr>
              <w:spacing w:before="0" w:after="0"/>
              <w:rPr>
                <w:rFonts w:eastAsia="Times New Roman"/>
                <w:color w:val="auto"/>
                <w:sz w:val="20"/>
                <w:szCs w:val="20"/>
              </w:rPr>
            </w:pPr>
            <w:r w:rsidRPr="00FF4F90">
              <w:rPr>
                <w:rFonts w:eastAsia="Times New Roman"/>
                <w:color w:val="auto"/>
                <w:sz w:val="20"/>
                <w:szCs w:val="20"/>
              </w:rPr>
              <w:t>LÍMITE DE GASTOS % GF/ICLD</w:t>
            </w:r>
          </w:p>
        </w:tc>
        <w:tc>
          <w:tcPr>
            <w:tcW w:w="1622" w:type="dxa"/>
            <w:tcBorders>
              <w:top w:val="nil"/>
              <w:left w:val="nil"/>
              <w:bottom w:val="single" w:sz="4" w:space="0" w:color="auto"/>
              <w:right w:val="single" w:sz="4" w:space="0" w:color="auto"/>
            </w:tcBorders>
            <w:shd w:val="clear" w:color="auto" w:fill="auto"/>
            <w:noWrap/>
            <w:vAlign w:val="bottom"/>
            <w:hideMark/>
          </w:tcPr>
          <w:p w:rsidR="00FF4F90" w:rsidRPr="00FF4F90" w:rsidRDefault="00FF4F90" w:rsidP="00E55115">
            <w:pPr>
              <w:spacing w:before="0" w:after="0"/>
              <w:jc w:val="right"/>
              <w:rPr>
                <w:rFonts w:eastAsia="Times New Roman"/>
                <w:color w:val="auto"/>
                <w:sz w:val="20"/>
                <w:szCs w:val="20"/>
              </w:rPr>
            </w:pPr>
            <w:r w:rsidRPr="00FF4F90">
              <w:rPr>
                <w:rFonts w:eastAsia="Times New Roman"/>
                <w:color w:val="auto"/>
                <w:sz w:val="20"/>
                <w:szCs w:val="20"/>
              </w:rPr>
              <w:t>80.00%</w:t>
            </w:r>
          </w:p>
        </w:tc>
        <w:tc>
          <w:tcPr>
            <w:tcW w:w="1755" w:type="dxa"/>
            <w:tcBorders>
              <w:top w:val="nil"/>
              <w:left w:val="nil"/>
              <w:bottom w:val="single" w:sz="4" w:space="0" w:color="auto"/>
              <w:right w:val="single" w:sz="4" w:space="0" w:color="auto"/>
            </w:tcBorders>
            <w:shd w:val="clear" w:color="auto" w:fill="auto"/>
            <w:noWrap/>
            <w:vAlign w:val="bottom"/>
            <w:hideMark/>
          </w:tcPr>
          <w:p w:rsidR="00FF4F90" w:rsidRPr="00FF4F90" w:rsidRDefault="00FF4F90" w:rsidP="00E55115">
            <w:pPr>
              <w:spacing w:before="0" w:after="0"/>
              <w:jc w:val="right"/>
              <w:rPr>
                <w:rFonts w:eastAsia="Times New Roman"/>
                <w:color w:val="auto"/>
                <w:sz w:val="18"/>
                <w:szCs w:val="18"/>
              </w:rPr>
            </w:pPr>
            <w:r w:rsidRPr="00FF4F90">
              <w:rPr>
                <w:rFonts w:eastAsia="Times New Roman"/>
                <w:color w:val="auto"/>
                <w:sz w:val="18"/>
                <w:szCs w:val="18"/>
              </w:rPr>
              <w:t xml:space="preserve">                 80,00% </w:t>
            </w:r>
          </w:p>
        </w:tc>
      </w:tr>
      <w:tr w:rsidR="00FF4F90" w:rsidRPr="00FF4F90" w:rsidTr="00231ECA">
        <w:trPr>
          <w:trHeight w:val="264"/>
          <w:jc w:val="center"/>
        </w:trPr>
        <w:tc>
          <w:tcPr>
            <w:tcW w:w="3609" w:type="dxa"/>
            <w:tcBorders>
              <w:top w:val="nil"/>
              <w:left w:val="single" w:sz="4" w:space="0" w:color="auto"/>
              <w:bottom w:val="single" w:sz="4" w:space="0" w:color="auto"/>
              <w:right w:val="single" w:sz="4" w:space="0" w:color="auto"/>
            </w:tcBorders>
            <w:shd w:val="clear" w:color="auto" w:fill="auto"/>
            <w:noWrap/>
            <w:vAlign w:val="bottom"/>
            <w:hideMark/>
          </w:tcPr>
          <w:p w:rsidR="00FF4F90" w:rsidRPr="00FF4F90" w:rsidRDefault="00FF4F90" w:rsidP="00FF4F90">
            <w:pPr>
              <w:spacing w:before="0" w:after="0"/>
              <w:rPr>
                <w:rFonts w:eastAsia="Times New Roman"/>
                <w:b/>
                <w:color w:val="auto"/>
                <w:sz w:val="20"/>
                <w:szCs w:val="20"/>
              </w:rPr>
            </w:pPr>
            <w:r w:rsidRPr="00FF4F90">
              <w:rPr>
                <w:rFonts w:eastAsia="Times New Roman"/>
                <w:b/>
                <w:color w:val="auto"/>
                <w:sz w:val="20"/>
                <w:szCs w:val="20"/>
              </w:rPr>
              <w:t>INDICADOR DE GF/ICLD</w:t>
            </w:r>
          </w:p>
        </w:tc>
        <w:tc>
          <w:tcPr>
            <w:tcW w:w="1622" w:type="dxa"/>
            <w:tcBorders>
              <w:top w:val="nil"/>
              <w:left w:val="nil"/>
              <w:bottom w:val="single" w:sz="4" w:space="0" w:color="auto"/>
              <w:right w:val="single" w:sz="4" w:space="0" w:color="auto"/>
            </w:tcBorders>
            <w:shd w:val="clear" w:color="auto" w:fill="auto"/>
            <w:noWrap/>
            <w:vAlign w:val="bottom"/>
            <w:hideMark/>
          </w:tcPr>
          <w:p w:rsidR="00FF4F90" w:rsidRPr="00FF4F90" w:rsidRDefault="00FF4F90" w:rsidP="00E55115">
            <w:pPr>
              <w:spacing w:before="0" w:after="0"/>
              <w:jc w:val="right"/>
              <w:rPr>
                <w:rFonts w:eastAsia="Times New Roman"/>
                <w:b/>
                <w:color w:val="auto"/>
                <w:sz w:val="20"/>
                <w:szCs w:val="20"/>
              </w:rPr>
            </w:pPr>
            <w:r w:rsidRPr="00FF4F90">
              <w:rPr>
                <w:rFonts w:eastAsia="Times New Roman"/>
                <w:b/>
                <w:color w:val="auto"/>
                <w:sz w:val="20"/>
                <w:szCs w:val="20"/>
              </w:rPr>
              <w:t>66.40%</w:t>
            </w:r>
          </w:p>
        </w:tc>
        <w:tc>
          <w:tcPr>
            <w:tcW w:w="1755" w:type="dxa"/>
            <w:tcBorders>
              <w:top w:val="nil"/>
              <w:left w:val="nil"/>
              <w:bottom w:val="single" w:sz="4" w:space="0" w:color="auto"/>
              <w:right w:val="single" w:sz="4" w:space="0" w:color="auto"/>
            </w:tcBorders>
            <w:shd w:val="clear" w:color="auto" w:fill="auto"/>
            <w:noWrap/>
            <w:vAlign w:val="bottom"/>
            <w:hideMark/>
          </w:tcPr>
          <w:p w:rsidR="00FF4F90" w:rsidRPr="00FF4F90" w:rsidRDefault="00FF4F90" w:rsidP="00E55115">
            <w:pPr>
              <w:spacing w:before="0" w:after="0"/>
              <w:jc w:val="right"/>
              <w:rPr>
                <w:rFonts w:eastAsia="Times New Roman"/>
                <w:b/>
                <w:color w:val="auto"/>
                <w:sz w:val="18"/>
                <w:szCs w:val="18"/>
              </w:rPr>
            </w:pPr>
            <w:r w:rsidRPr="00FF4F90">
              <w:rPr>
                <w:rFonts w:eastAsia="Times New Roman"/>
                <w:b/>
                <w:color w:val="auto"/>
                <w:sz w:val="18"/>
                <w:szCs w:val="18"/>
              </w:rPr>
              <w:t xml:space="preserve">                 58,93% </w:t>
            </w:r>
          </w:p>
        </w:tc>
      </w:tr>
      <w:tr w:rsidR="00FF4F90" w:rsidRPr="00FF4F90" w:rsidTr="00231ECA">
        <w:trPr>
          <w:trHeight w:val="264"/>
          <w:jc w:val="center"/>
        </w:trPr>
        <w:tc>
          <w:tcPr>
            <w:tcW w:w="3609" w:type="dxa"/>
            <w:tcBorders>
              <w:top w:val="nil"/>
              <w:left w:val="single" w:sz="4" w:space="0" w:color="auto"/>
              <w:bottom w:val="single" w:sz="4" w:space="0" w:color="auto"/>
              <w:right w:val="single" w:sz="4" w:space="0" w:color="auto"/>
            </w:tcBorders>
            <w:shd w:val="clear" w:color="auto" w:fill="auto"/>
            <w:noWrap/>
            <w:vAlign w:val="bottom"/>
            <w:hideMark/>
          </w:tcPr>
          <w:p w:rsidR="00FF4F90" w:rsidRPr="00FF4F90" w:rsidRDefault="00FF4F90" w:rsidP="00FF4F90">
            <w:pPr>
              <w:spacing w:before="0" w:after="0"/>
              <w:rPr>
                <w:rFonts w:eastAsia="Times New Roman"/>
                <w:color w:val="auto"/>
                <w:sz w:val="20"/>
                <w:szCs w:val="20"/>
              </w:rPr>
            </w:pPr>
            <w:r w:rsidRPr="00FF4F90">
              <w:rPr>
                <w:rFonts w:eastAsia="Times New Roman"/>
                <w:color w:val="auto"/>
                <w:sz w:val="20"/>
                <w:szCs w:val="20"/>
              </w:rPr>
              <w:lastRenderedPageBreak/>
              <w:t>ESTADO DEL INDICADOR</w:t>
            </w:r>
          </w:p>
        </w:tc>
        <w:tc>
          <w:tcPr>
            <w:tcW w:w="1622" w:type="dxa"/>
            <w:tcBorders>
              <w:top w:val="nil"/>
              <w:left w:val="nil"/>
              <w:bottom w:val="single" w:sz="4" w:space="0" w:color="auto"/>
              <w:right w:val="single" w:sz="4" w:space="0" w:color="auto"/>
            </w:tcBorders>
            <w:shd w:val="clear" w:color="auto" w:fill="auto"/>
            <w:noWrap/>
            <w:vAlign w:val="bottom"/>
            <w:hideMark/>
          </w:tcPr>
          <w:p w:rsidR="00FF4F90" w:rsidRPr="00FF4F90" w:rsidRDefault="00FF4F90" w:rsidP="00901C37">
            <w:pPr>
              <w:spacing w:before="0" w:after="0"/>
              <w:jc w:val="right"/>
              <w:rPr>
                <w:rFonts w:eastAsia="Times New Roman"/>
                <w:b/>
                <w:bCs/>
                <w:color w:val="auto"/>
                <w:sz w:val="18"/>
                <w:szCs w:val="18"/>
              </w:rPr>
            </w:pPr>
            <w:r w:rsidRPr="00FF4F90">
              <w:rPr>
                <w:rFonts w:eastAsia="Times New Roman"/>
                <w:b/>
                <w:bCs/>
                <w:color w:val="auto"/>
                <w:sz w:val="18"/>
                <w:szCs w:val="18"/>
              </w:rPr>
              <w:t xml:space="preserve"> CUMPLE </w:t>
            </w:r>
          </w:p>
        </w:tc>
        <w:tc>
          <w:tcPr>
            <w:tcW w:w="1755" w:type="dxa"/>
            <w:tcBorders>
              <w:top w:val="nil"/>
              <w:left w:val="nil"/>
              <w:bottom w:val="single" w:sz="4" w:space="0" w:color="auto"/>
              <w:right w:val="single" w:sz="4" w:space="0" w:color="auto"/>
            </w:tcBorders>
            <w:shd w:val="clear" w:color="auto" w:fill="auto"/>
            <w:noWrap/>
            <w:vAlign w:val="bottom"/>
            <w:hideMark/>
          </w:tcPr>
          <w:p w:rsidR="00FF4F90" w:rsidRPr="00FF4F90" w:rsidRDefault="00FF4F90" w:rsidP="00901C37">
            <w:pPr>
              <w:spacing w:before="0" w:after="0"/>
              <w:jc w:val="right"/>
              <w:rPr>
                <w:rFonts w:eastAsia="Times New Roman"/>
                <w:b/>
                <w:bCs/>
                <w:color w:val="auto"/>
                <w:sz w:val="18"/>
                <w:szCs w:val="18"/>
              </w:rPr>
            </w:pPr>
            <w:r w:rsidRPr="00FF4F90">
              <w:rPr>
                <w:rFonts w:eastAsia="Times New Roman"/>
                <w:b/>
                <w:bCs/>
                <w:color w:val="auto"/>
                <w:sz w:val="18"/>
                <w:szCs w:val="18"/>
              </w:rPr>
              <w:t xml:space="preserve"> CUMPLE </w:t>
            </w:r>
          </w:p>
        </w:tc>
      </w:tr>
    </w:tbl>
    <w:p w:rsidR="008C7A2F" w:rsidRDefault="008C7A2F" w:rsidP="00B212CE"/>
    <w:p w:rsidR="00477304" w:rsidRPr="00CA76CA" w:rsidRDefault="008C7A2F" w:rsidP="00B212CE">
      <w:pPr>
        <w:rPr>
          <w:rFonts w:ascii="Tahoma" w:hAnsi="Tahoma" w:cs="Tahoma"/>
          <w:b/>
        </w:rPr>
      </w:pPr>
      <w:r w:rsidRPr="00CA76CA">
        <w:rPr>
          <w:rFonts w:ascii="Tahoma" w:hAnsi="Tahoma" w:cs="Tahoma"/>
          <w:b/>
        </w:rPr>
        <w:t>4.2 RESULTADO ANALISIS PRESUPUESTAL</w:t>
      </w:r>
    </w:p>
    <w:p w:rsidR="008C7A2F" w:rsidRPr="00CA76CA" w:rsidRDefault="008C7A2F" w:rsidP="00B212CE">
      <w:pPr>
        <w:rPr>
          <w:rFonts w:ascii="Tahoma" w:hAnsi="Tahoma" w:cs="Tahoma"/>
        </w:rPr>
      </w:pPr>
    </w:p>
    <w:p w:rsidR="008C7A2F" w:rsidRPr="00CA76CA" w:rsidRDefault="008C7A2F" w:rsidP="00776215">
      <w:pPr>
        <w:jc w:val="both"/>
        <w:rPr>
          <w:rFonts w:ascii="Tahoma" w:hAnsi="Tahoma" w:cs="Tahoma"/>
        </w:rPr>
      </w:pPr>
      <w:r w:rsidRPr="00CA76CA">
        <w:rPr>
          <w:rFonts w:ascii="Tahoma" w:hAnsi="Tahoma" w:cs="Tahoma"/>
        </w:rPr>
        <w:t>Una vez analizada la información presupuestal del municipio de Lérida Tolima</w:t>
      </w:r>
      <w:r w:rsidR="004F7914" w:rsidRPr="00CA76CA">
        <w:rPr>
          <w:rFonts w:ascii="Tahoma" w:hAnsi="Tahoma" w:cs="Tahoma"/>
        </w:rPr>
        <w:t xml:space="preserve"> a Diciembre 31 de 2015, </w:t>
      </w:r>
      <w:r w:rsidRPr="00CA76CA">
        <w:rPr>
          <w:rFonts w:ascii="Tahoma" w:hAnsi="Tahoma" w:cs="Tahoma"/>
        </w:rPr>
        <w:t xml:space="preserve">se </w:t>
      </w:r>
      <w:r w:rsidR="004F7914" w:rsidRPr="00CA76CA">
        <w:rPr>
          <w:rFonts w:ascii="Tahoma" w:hAnsi="Tahoma" w:cs="Tahoma"/>
        </w:rPr>
        <w:t>evidenció que el ente Territorial, presentó Deficit presupuestal en la suma de $1.303.539.607.oo, toda vez que el Total de los Gastos comprometidos,  fueron mayores a los ingresos efectivamente recaudados.  Ver Tabla.</w:t>
      </w:r>
    </w:p>
    <w:p w:rsidR="008C7A2F" w:rsidRDefault="008C7A2F" w:rsidP="00B212CE"/>
    <w:tbl>
      <w:tblPr>
        <w:tblW w:w="7340" w:type="dxa"/>
        <w:jc w:val="center"/>
        <w:tblCellMar>
          <w:left w:w="70" w:type="dxa"/>
          <w:right w:w="70" w:type="dxa"/>
        </w:tblCellMar>
        <w:tblLook w:val="04A0" w:firstRow="1" w:lastRow="0" w:firstColumn="1" w:lastColumn="0" w:noHBand="0" w:noVBand="1"/>
      </w:tblPr>
      <w:tblGrid>
        <w:gridCol w:w="2660"/>
        <w:gridCol w:w="2340"/>
        <w:gridCol w:w="2340"/>
      </w:tblGrid>
      <w:tr w:rsidR="00477304" w:rsidRPr="00477304" w:rsidTr="004F7914">
        <w:trPr>
          <w:trHeight w:val="792"/>
          <w:jc w:val="center"/>
        </w:trPr>
        <w:tc>
          <w:tcPr>
            <w:tcW w:w="26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77304" w:rsidRPr="00477304" w:rsidRDefault="00477304" w:rsidP="00477304">
            <w:pPr>
              <w:spacing w:before="0" w:after="0"/>
              <w:jc w:val="center"/>
              <w:rPr>
                <w:rFonts w:ascii="Tahoma" w:eastAsia="Times New Roman" w:hAnsi="Tahoma" w:cs="Tahoma"/>
                <w:color w:val="auto"/>
                <w:sz w:val="20"/>
                <w:szCs w:val="20"/>
              </w:rPr>
            </w:pPr>
            <w:r w:rsidRPr="00477304">
              <w:rPr>
                <w:rFonts w:ascii="Tahoma" w:eastAsia="Times New Roman" w:hAnsi="Tahoma" w:cs="Tahoma"/>
                <w:color w:val="auto"/>
                <w:sz w:val="20"/>
                <w:szCs w:val="20"/>
              </w:rPr>
              <w:t xml:space="preserve">  INGRESOS</w:t>
            </w:r>
            <w:r w:rsidRPr="00477304">
              <w:rPr>
                <w:rFonts w:ascii="Tahoma" w:eastAsia="Times New Roman" w:hAnsi="Tahoma" w:cs="Tahoma"/>
                <w:color w:val="auto"/>
                <w:sz w:val="20"/>
                <w:szCs w:val="20"/>
              </w:rPr>
              <w:br/>
              <w:t xml:space="preserve">EFECTIVAMENTE RECAUDADOS </w:t>
            </w:r>
          </w:p>
        </w:tc>
        <w:tc>
          <w:tcPr>
            <w:tcW w:w="2340" w:type="dxa"/>
            <w:tcBorders>
              <w:top w:val="single" w:sz="4" w:space="0" w:color="auto"/>
              <w:left w:val="nil"/>
              <w:bottom w:val="single" w:sz="4" w:space="0" w:color="auto"/>
              <w:right w:val="single" w:sz="4" w:space="0" w:color="auto"/>
            </w:tcBorders>
            <w:shd w:val="clear" w:color="auto" w:fill="auto"/>
            <w:vAlign w:val="bottom"/>
            <w:hideMark/>
          </w:tcPr>
          <w:p w:rsidR="00477304" w:rsidRPr="00477304" w:rsidRDefault="00477304" w:rsidP="00477304">
            <w:pPr>
              <w:spacing w:before="0" w:after="0"/>
              <w:jc w:val="center"/>
              <w:rPr>
                <w:rFonts w:ascii="Tahoma" w:eastAsia="Times New Roman" w:hAnsi="Tahoma" w:cs="Tahoma"/>
                <w:color w:val="auto"/>
                <w:sz w:val="20"/>
                <w:szCs w:val="20"/>
              </w:rPr>
            </w:pPr>
            <w:r w:rsidRPr="00477304">
              <w:rPr>
                <w:rFonts w:ascii="Tahoma" w:eastAsia="Times New Roman" w:hAnsi="Tahoma" w:cs="Tahoma"/>
                <w:color w:val="auto"/>
                <w:sz w:val="20"/>
                <w:szCs w:val="20"/>
              </w:rPr>
              <w:t xml:space="preserve"> GASTOS EFECTIVAMENTE COMPROMETIDOS </w:t>
            </w:r>
          </w:p>
        </w:tc>
        <w:tc>
          <w:tcPr>
            <w:tcW w:w="2340" w:type="dxa"/>
            <w:tcBorders>
              <w:top w:val="single" w:sz="4" w:space="0" w:color="auto"/>
              <w:left w:val="nil"/>
              <w:bottom w:val="single" w:sz="4" w:space="0" w:color="auto"/>
              <w:right w:val="single" w:sz="4" w:space="0" w:color="auto"/>
            </w:tcBorders>
            <w:shd w:val="clear" w:color="auto" w:fill="auto"/>
            <w:vAlign w:val="bottom"/>
            <w:hideMark/>
          </w:tcPr>
          <w:p w:rsidR="00477304" w:rsidRPr="00477304" w:rsidRDefault="00477304" w:rsidP="00477304">
            <w:pPr>
              <w:spacing w:before="0" w:after="0"/>
              <w:jc w:val="center"/>
              <w:rPr>
                <w:rFonts w:ascii="Tahoma" w:eastAsia="Times New Roman" w:hAnsi="Tahoma" w:cs="Tahoma"/>
                <w:color w:val="auto"/>
                <w:sz w:val="20"/>
                <w:szCs w:val="20"/>
              </w:rPr>
            </w:pPr>
            <w:r w:rsidRPr="00477304">
              <w:rPr>
                <w:rFonts w:ascii="Tahoma" w:eastAsia="Times New Roman" w:hAnsi="Tahoma" w:cs="Tahoma"/>
                <w:color w:val="auto"/>
                <w:sz w:val="20"/>
                <w:szCs w:val="20"/>
              </w:rPr>
              <w:t xml:space="preserve"> DEFICIT  O  SUPERAVIT</w:t>
            </w:r>
            <w:r w:rsidRPr="00477304">
              <w:rPr>
                <w:rFonts w:ascii="Tahoma" w:eastAsia="Times New Roman" w:hAnsi="Tahoma" w:cs="Tahoma"/>
                <w:color w:val="auto"/>
                <w:sz w:val="20"/>
                <w:szCs w:val="20"/>
              </w:rPr>
              <w:br/>
              <w:t xml:space="preserve">PRESUPUESTAL </w:t>
            </w:r>
          </w:p>
        </w:tc>
      </w:tr>
      <w:tr w:rsidR="00477304" w:rsidRPr="00477304" w:rsidTr="004F7914">
        <w:trPr>
          <w:trHeight w:val="264"/>
          <w:jc w:val="center"/>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rsidR="00477304" w:rsidRPr="00477304" w:rsidRDefault="00477304" w:rsidP="008C00FD">
            <w:pPr>
              <w:spacing w:before="0" w:after="0"/>
              <w:jc w:val="right"/>
              <w:rPr>
                <w:rFonts w:ascii="Tahoma" w:eastAsia="Times New Roman" w:hAnsi="Tahoma" w:cs="Tahoma"/>
                <w:color w:val="auto"/>
                <w:sz w:val="20"/>
                <w:szCs w:val="20"/>
              </w:rPr>
            </w:pPr>
            <w:r w:rsidRPr="00477304">
              <w:rPr>
                <w:rFonts w:ascii="Tahoma" w:eastAsia="Times New Roman" w:hAnsi="Tahoma" w:cs="Tahoma"/>
                <w:color w:val="auto"/>
                <w:sz w:val="20"/>
                <w:szCs w:val="20"/>
              </w:rPr>
              <w:t xml:space="preserve">                   </w:t>
            </w:r>
            <w:r w:rsidR="004F7914">
              <w:rPr>
                <w:rFonts w:ascii="Tahoma" w:eastAsia="Times New Roman" w:hAnsi="Tahoma" w:cs="Tahoma"/>
                <w:color w:val="auto"/>
                <w:sz w:val="20"/>
                <w:szCs w:val="20"/>
              </w:rPr>
              <w:t>$</w:t>
            </w:r>
            <w:r w:rsidRPr="00477304">
              <w:rPr>
                <w:rFonts w:ascii="Tahoma" w:eastAsia="Times New Roman" w:hAnsi="Tahoma" w:cs="Tahoma"/>
                <w:color w:val="auto"/>
                <w:sz w:val="20"/>
                <w:szCs w:val="20"/>
              </w:rPr>
              <w:t>20</w:t>
            </w:r>
            <w:r w:rsidR="008C00FD">
              <w:rPr>
                <w:rFonts w:ascii="Tahoma" w:eastAsia="Times New Roman" w:hAnsi="Tahoma" w:cs="Tahoma"/>
                <w:color w:val="auto"/>
                <w:sz w:val="20"/>
                <w:szCs w:val="20"/>
              </w:rPr>
              <w:t>.</w:t>
            </w:r>
            <w:r w:rsidRPr="00477304">
              <w:rPr>
                <w:rFonts w:ascii="Tahoma" w:eastAsia="Times New Roman" w:hAnsi="Tahoma" w:cs="Tahoma"/>
                <w:color w:val="auto"/>
                <w:sz w:val="20"/>
                <w:szCs w:val="20"/>
              </w:rPr>
              <w:t>019</w:t>
            </w:r>
            <w:r w:rsidR="008C00FD">
              <w:rPr>
                <w:rFonts w:ascii="Tahoma" w:eastAsia="Times New Roman" w:hAnsi="Tahoma" w:cs="Tahoma"/>
                <w:color w:val="auto"/>
                <w:sz w:val="20"/>
                <w:szCs w:val="20"/>
              </w:rPr>
              <w:t>.</w:t>
            </w:r>
            <w:r w:rsidRPr="00477304">
              <w:rPr>
                <w:rFonts w:ascii="Tahoma" w:eastAsia="Times New Roman" w:hAnsi="Tahoma" w:cs="Tahoma"/>
                <w:color w:val="auto"/>
                <w:sz w:val="20"/>
                <w:szCs w:val="20"/>
              </w:rPr>
              <w:t>793</w:t>
            </w:r>
            <w:r w:rsidR="008C00FD">
              <w:rPr>
                <w:rFonts w:ascii="Tahoma" w:eastAsia="Times New Roman" w:hAnsi="Tahoma" w:cs="Tahoma"/>
                <w:color w:val="auto"/>
                <w:sz w:val="20"/>
                <w:szCs w:val="20"/>
              </w:rPr>
              <w:t>.</w:t>
            </w:r>
            <w:r w:rsidRPr="00477304">
              <w:rPr>
                <w:rFonts w:ascii="Tahoma" w:eastAsia="Times New Roman" w:hAnsi="Tahoma" w:cs="Tahoma"/>
                <w:color w:val="auto"/>
                <w:sz w:val="20"/>
                <w:szCs w:val="20"/>
              </w:rPr>
              <w:t xml:space="preserve">623 </w:t>
            </w:r>
          </w:p>
        </w:tc>
        <w:tc>
          <w:tcPr>
            <w:tcW w:w="2340" w:type="dxa"/>
            <w:tcBorders>
              <w:top w:val="nil"/>
              <w:left w:val="nil"/>
              <w:bottom w:val="single" w:sz="4" w:space="0" w:color="auto"/>
              <w:right w:val="single" w:sz="4" w:space="0" w:color="auto"/>
            </w:tcBorders>
            <w:shd w:val="clear" w:color="auto" w:fill="auto"/>
            <w:noWrap/>
            <w:vAlign w:val="bottom"/>
            <w:hideMark/>
          </w:tcPr>
          <w:p w:rsidR="00477304" w:rsidRPr="00477304" w:rsidRDefault="00477304" w:rsidP="008C00FD">
            <w:pPr>
              <w:spacing w:before="0" w:after="0"/>
              <w:jc w:val="right"/>
              <w:rPr>
                <w:rFonts w:ascii="Tahoma" w:eastAsia="Times New Roman" w:hAnsi="Tahoma" w:cs="Tahoma"/>
                <w:color w:val="auto"/>
                <w:sz w:val="20"/>
                <w:szCs w:val="20"/>
              </w:rPr>
            </w:pPr>
            <w:r w:rsidRPr="00477304">
              <w:rPr>
                <w:rFonts w:ascii="Tahoma" w:eastAsia="Times New Roman" w:hAnsi="Tahoma" w:cs="Tahoma"/>
                <w:color w:val="auto"/>
                <w:sz w:val="20"/>
                <w:szCs w:val="20"/>
              </w:rPr>
              <w:t xml:space="preserve">             </w:t>
            </w:r>
            <w:r w:rsidR="004F7914">
              <w:rPr>
                <w:rFonts w:ascii="Tahoma" w:eastAsia="Times New Roman" w:hAnsi="Tahoma" w:cs="Tahoma"/>
                <w:color w:val="auto"/>
                <w:sz w:val="20"/>
                <w:szCs w:val="20"/>
              </w:rPr>
              <w:t>$</w:t>
            </w:r>
            <w:r w:rsidRPr="00477304">
              <w:rPr>
                <w:rFonts w:ascii="Tahoma" w:eastAsia="Times New Roman" w:hAnsi="Tahoma" w:cs="Tahoma"/>
                <w:color w:val="auto"/>
                <w:sz w:val="20"/>
                <w:szCs w:val="20"/>
              </w:rPr>
              <w:t>21</w:t>
            </w:r>
            <w:r w:rsidR="008C00FD">
              <w:rPr>
                <w:rFonts w:ascii="Tahoma" w:eastAsia="Times New Roman" w:hAnsi="Tahoma" w:cs="Tahoma"/>
                <w:color w:val="auto"/>
                <w:sz w:val="20"/>
                <w:szCs w:val="20"/>
              </w:rPr>
              <w:t>.</w:t>
            </w:r>
            <w:r w:rsidRPr="00477304">
              <w:rPr>
                <w:rFonts w:ascii="Tahoma" w:eastAsia="Times New Roman" w:hAnsi="Tahoma" w:cs="Tahoma"/>
                <w:color w:val="auto"/>
                <w:sz w:val="20"/>
                <w:szCs w:val="20"/>
              </w:rPr>
              <w:t>323</w:t>
            </w:r>
            <w:r w:rsidR="008C00FD">
              <w:rPr>
                <w:rFonts w:ascii="Tahoma" w:eastAsia="Times New Roman" w:hAnsi="Tahoma" w:cs="Tahoma"/>
                <w:color w:val="auto"/>
                <w:sz w:val="20"/>
                <w:szCs w:val="20"/>
              </w:rPr>
              <w:t>.</w:t>
            </w:r>
            <w:r w:rsidRPr="00477304">
              <w:rPr>
                <w:rFonts w:ascii="Tahoma" w:eastAsia="Times New Roman" w:hAnsi="Tahoma" w:cs="Tahoma"/>
                <w:color w:val="auto"/>
                <w:sz w:val="20"/>
                <w:szCs w:val="20"/>
              </w:rPr>
              <w:t>333</w:t>
            </w:r>
            <w:r w:rsidR="008C00FD">
              <w:rPr>
                <w:rFonts w:ascii="Tahoma" w:eastAsia="Times New Roman" w:hAnsi="Tahoma" w:cs="Tahoma"/>
                <w:color w:val="auto"/>
                <w:sz w:val="20"/>
                <w:szCs w:val="20"/>
              </w:rPr>
              <w:t>.</w:t>
            </w:r>
            <w:r w:rsidRPr="00477304">
              <w:rPr>
                <w:rFonts w:ascii="Tahoma" w:eastAsia="Times New Roman" w:hAnsi="Tahoma" w:cs="Tahoma"/>
                <w:color w:val="auto"/>
                <w:sz w:val="20"/>
                <w:szCs w:val="20"/>
              </w:rPr>
              <w:t xml:space="preserve">230 </w:t>
            </w:r>
          </w:p>
        </w:tc>
        <w:tc>
          <w:tcPr>
            <w:tcW w:w="2340" w:type="dxa"/>
            <w:tcBorders>
              <w:top w:val="nil"/>
              <w:left w:val="nil"/>
              <w:bottom w:val="single" w:sz="4" w:space="0" w:color="auto"/>
              <w:right w:val="single" w:sz="4" w:space="0" w:color="auto"/>
            </w:tcBorders>
            <w:shd w:val="clear" w:color="auto" w:fill="auto"/>
            <w:noWrap/>
            <w:vAlign w:val="bottom"/>
            <w:hideMark/>
          </w:tcPr>
          <w:p w:rsidR="00477304" w:rsidRPr="00477304" w:rsidRDefault="00477304" w:rsidP="008C00FD">
            <w:pPr>
              <w:spacing w:before="0" w:after="0"/>
              <w:jc w:val="right"/>
              <w:rPr>
                <w:rFonts w:ascii="Tahoma" w:eastAsia="Times New Roman" w:hAnsi="Tahoma" w:cs="Tahoma"/>
                <w:color w:val="auto"/>
                <w:sz w:val="20"/>
                <w:szCs w:val="20"/>
              </w:rPr>
            </w:pPr>
            <w:r w:rsidRPr="00477304">
              <w:rPr>
                <w:rFonts w:ascii="Tahoma" w:eastAsia="Times New Roman" w:hAnsi="Tahoma" w:cs="Tahoma"/>
                <w:color w:val="auto"/>
                <w:sz w:val="20"/>
                <w:szCs w:val="20"/>
              </w:rPr>
              <w:t xml:space="preserve">             (</w:t>
            </w:r>
            <w:r w:rsidR="008C00FD">
              <w:rPr>
                <w:rFonts w:ascii="Tahoma" w:eastAsia="Times New Roman" w:hAnsi="Tahoma" w:cs="Tahoma"/>
                <w:color w:val="auto"/>
                <w:sz w:val="20"/>
                <w:szCs w:val="20"/>
              </w:rPr>
              <w:t>$</w:t>
            </w:r>
            <w:r w:rsidRPr="00477304">
              <w:rPr>
                <w:rFonts w:ascii="Tahoma" w:eastAsia="Times New Roman" w:hAnsi="Tahoma" w:cs="Tahoma"/>
                <w:color w:val="auto"/>
                <w:sz w:val="20"/>
                <w:szCs w:val="20"/>
              </w:rPr>
              <w:t>1</w:t>
            </w:r>
            <w:r w:rsidR="008C00FD">
              <w:rPr>
                <w:rFonts w:ascii="Tahoma" w:eastAsia="Times New Roman" w:hAnsi="Tahoma" w:cs="Tahoma"/>
                <w:color w:val="auto"/>
                <w:sz w:val="20"/>
                <w:szCs w:val="20"/>
              </w:rPr>
              <w:t>.</w:t>
            </w:r>
            <w:r w:rsidRPr="00477304">
              <w:rPr>
                <w:rFonts w:ascii="Tahoma" w:eastAsia="Times New Roman" w:hAnsi="Tahoma" w:cs="Tahoma"/>
                <w:color w:val="auto"/>
                <w:sz w:val="20"/>
                <w:szCs w:val="20"/>
              </w:rPr>
              <w:t>303</w:t>
            </w:r>
            <w:r w:rsidR="008C00FD">
              <w:rPr>
                <w:rFonts w:ascii="Tahoma" w:eastAsia="Times New Roman" w:hAnsi="Tahoma" w:cs="Tahoma"/>
                <w:color w:val="auto"/>
                <w:sz w:val="20"/>
                <w:szCs w:val="20"/>
              </w:rPr>
              <w:t>.</w:t>
            </w:r>
            <w:r w:rsidRPr="00477304">
              <w:rPr>
                <w:rFonts w:ascii="Tahoma" w:eastAsia="Times New Roman" w:hAnsi="Tahoma" w:cs="Tahoma"/>
                <w:color w:val="auto"/>
                <w:sz w:val="20"/>
                <w:szCs w:val="20"/>
              </w:rPr>
              <w:t>539</w:t>
            </w:r>
            <w:r w:rsidR="008C00FD">
              <w:rPr>
                <w:rFonts w:ascii="Tahoma" w:eastAsia="Times New Roman" w:hAnsi="Tahoma" w:cs="Tahoma"/>
                <w:color w:val="auto"/>
                <w:sz w:val="20"/>
                <w:szCs w:val="20"/>
              </w:rPr>
              <w:t>.</w:t>
            </w:r>
            <w:r w:rsidRPr="00477304">
              <w:rPr>
                <w:rFonts w:ascii="Tahoma" w:eastAsia="Times New Roman" w:hAnsi="Tahoma" w:cs="Tahoma"/>
                <w:color w:val="auto"/>
                <w:sz w:val="20"/>
                <w:szCs w:val="20"/>
              </w:rPr>
              <w:t>607)</w:t>
            </w:r>
          </w:p>
        </w:tc>
      </w:tr>
    </w:tbl>
    <w:p w:rsidR="00477304" w:rsidRDefault="00477304" w:rsidP="00B212CE"/>
    <w:p w:rsidR="004F7914" w:rsidRPr="00CA76CA" w:rsidRDefault="00BD4C82" w:rsidP="00CA76CA">
      <w:pPr>
        <w:jc w:val="both"/>
        <w:rPr>
          <w:rFonts w:ascii="Tahoma" w:hAnsi="Tahoma" w:cs="Tahoma"/>
        </w:rPr>
      </w:pPr>
      <w:r w:rsidRPr="00CA76CA">
        <w:rPr>
          <w:rFonts w:ascii="Tahoma" w:hAnsi="Tahoma" w:cs="Tahoma"/>
        </w:rPr>
        <w:t xml:space="preserve">El conocimiento oportuno y preciso de los resultados de la gestión de los recursos públicos durante un período, es indispensable no sólo para juzgar su pertinencia y eficiencia, sino también para tomar los correctivos orientados al logro de las metas fiscales y económicas propuestas. </w:t>
      </w:r>
      <w:r w:rsidR="004F7914" w:rsidRPr="00CA76CA">
        <w:rPr>
          <w:rFonts w:ascii="Tahoma" w:hAnsi="Tahoma" w:cs="Tahoma"/>
        </w:rPr>
        <w:t xml:space="preserve"> </w:t>
      </w:r>
    </w:p>
    <w:p w:rsidR="004F7914" w:rsidRPr="00CA76CA" w:rsidRDefault="004F7914" w:rsidP="00B212CE">
      <w:pPr>
        <w:rPr>
          <w:rFonts w:ascii="Tahoma" w:hAnsi="Tahoma" w:cs="Tahoma"/>
        </w:rPr>
      </w:pPr>
    </w:p>
    <w:p w:rsidR="008C00FD" w:rsidRPr="00CA76CA" w:rsidRDefault="00BD4C82" w:rsidP="00B212CE">
      <w:pPr>
        <w:rPr>
          <w:rFonts w:ascii="Tahoma" w:hAnsi="Tahoma" w:cs="Tahoma"/>
          <w:b/>
        </w:rPr>
      </w:pPr>
      <w:r w:rsidRPr="00CA76CA">
        <w:rPr>
          <w:rFonts w:ascii="Tahoma" w:hAnsi="Tahoma" w:cs="Tahoma"/>
          <w:b/>
        </w:rPr>
        <w:t>RECOMENDACIONES</w:t>
      </w:r>
    </w:p>
    <w:p w:rsidR="008C00FD" w:rsidRPr="00CA76CA" w:rsidRDefault="008C00FD" w:rsidP="00B212CE">
      <w:pPr>
        <w:rPr>
          <w:rFonts w:ascii="Tahoma" w:hAnsi="Tahoma" w:cs="Tahoma"/>
        </w:rPr>
      </w:pPr>
    </w:p>
    <w:p w:rsidR="00FE1BB9" w:rsidRPr="00CA76CA" w:rsidRDefault="00D51763" w:rsidP="00D51763">
      <w:pPr>
        <w:jc w:val="both"/>
        <w:rPr>
          <w:rFonts w:ascii="Tahoma" w:hAnsi="Tahoma" w:cs="Tahoma"/>
        </w:rPr>
      </w:pPr>
      <w:r w:rsidRPr="00CA76CA">
        <w:rPr>
          <w:rFonts w:ascii="Tahoma" w:hAnsi="Tahoma" w:cs="Tahoma"/>
        </w:rPr>
        <w:t xml:space="preserve">Se recomienda hacer </w:t>
      </w:r>
      <w:r w:rsidR="00FE1BB9" w:rsidRPr="00CA76CA">
        <w:rPr>
          <w:rFonts w:ascii="Tahoma" w:hAnsi="Tahoma" w:cs="Tahoma"/>
        </w:rPr>
        <w:t xml:space="preserve">una mejor planeación, </w:t>
      </w:r>
      <w:r w:rsidRPr="00CA76CA">
        <w:rPr>
          <w:rFonts w:ascii="Tahoma" w:hAnsi="Tahoma" w:cs="Tahoma"/>
        </w:rPr>
        <w:t>un</w:t>
      </w:r>
      <w:r w:rsidR="00FE1BB9" w:rsidRPr="00CA76CA">
        <w:rPr>
          <w:rFonts w:ascii="Tahoma" w:hAnsi="Tahoma" w:cs="Tahoma"/>
        </w:rPr>
        <w:t>a</w:t>
      </w:r>
      <w:r w:rsidRPr="00CA76CA">
        <w:rPr>
          <w:rFonts w:ascii="Tahoma" w:hAnsi="Tahoma" w:cs="Tahoma"/>
        </w:rPr>
        <w:t xml:space="preserve"> mayor racionalización del Gasto,</w:t>
      </w:r>
      <w:r w:rsidR="00FE1BB9" w:rsidRPr="00CA76CA">
        <w:rPr>
          <w:rFonts w:ascii="Tahoma" w:hAnsi="Tahoma" w:cs="Tahoma"/>
        </w:rPr>
        <w:t xml:space="preserve"> fortalecer el recaudo y el cobro coactivo y reducir los gastos de funcionamiento, con el fin de mejorar indicadores y mostrar una mejor eficiencia fiscal.</w:t>
      </w:r>
    </w:p>
    <w:p w:rsidR="005C0DCB" w:rsidRDefault="005C0DCB" w:rsidP="005C0DCB">
      <w:pPr>
        <w:spacing w:before="0" w:after="0" w:line="228" w:lineRule="auto"/>
        <w:jc w:val="both"/>
      </w:pPr>
    </w:p>
    <w:p w:rsidR="005C0DCB" w:rsidRDefault="005C0DCB" w:rsidP="005C0DCB">
      <w:pPr>
        <w:tabs>
          <w:tab w:val="left" w:pos="6480"/>
        </w:tabs>
        <w:spacing w:before="0" w:after="0" w:line="228" w:lineRule="auto"/>
        <w:rPr>
          <w:rFonts w:ascii="Tahoma" w:hAnsi="Tahoma" w:cs="Tahoma"/>
          <w:b/>
          <w:sz w:val="16"/>
        </w:rPr>
      </w:pPr>
      <w:r>
        <w:rPr>
          <w:rFonts w:ascii="Tahoma" w:hAnsi="Tahoma" w:cs="Tahoma"/>
          <w:b/>
          <w:sz w:val="16"/>
        </w:rPr>
        <w:tab/>
      </w:r>
    </w:p>
    <w:sectPr w:rsidR="005C0DCB" w:rsidSect="00E566A8">
      <w:headerReference w:type="default" r:id="rId22"/>
      <w:footerReference w:type="default" r:id="rId23"/>
      <w:pgSz w:w="12242" w:h="15842" w:code="1"/>
      <w:pgMar w:top="2268" w:right="1701" w:bottom="2836" w:left="1701" w:header="57" w:footer="191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54AA" w:rsidRDefault="00F554AA" w:rsidP="00650A99">
      <w:r>
        <w:separator/>
      </w:r>
    </w:p>
  </w:endnote>
  <w:endnote w:type="continuationSeparator" w:id="0">
    <w:p w:rsidR="00F554AA" w:rsidRDefault="00F554AA" w:rsidP="00650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FDB" w:rsidRPr="00070555" w:rsidRDefault="00763FDB">
    <w:pPr>
      <w:pStyle w:val="Piedepgina"/>
      <w:rPr>
        <w:rFonts w:ascii="Tahoma" w:hAnsi="Tahoma" w:cs="Tahoma"/>
        <w:sz w:val="14"/>
        <w:szCs w:val="20"/>
      </w:rPr>
    </w:pPr>
    <w:r w:rsidRPr="00070555">
      <w:rPr>
        <w:rFonts w:ascii="Tahoma" w:hAnsi="Tahoma" w:cs="Tahoma"/>
        <w:noProof/>
        <w:sz w:val="18"/>
        <w:szCs w:val="18"/>
      </w:rPr>
      <mc:AlternateContent>
        <mc:Choice Requires="wps">
          <w:drawing>
            <wp:anchor distT="0" distB="0" distL="114300" distR="114300" simplePos="0" relativeHeight="251666432" behindDoc="0" locked="0" layoutInCell="1" allowOverlap="1" wp14:anchorId="3C7B4A50" wp14:editId="60DEA3D8">
              <wp:simplePos x="0" y="0"/>
              <wp:positionH relativeFrom="column">
                <wp:posOffset>-157480</wp:posOffset>
              </wp:positionH>
              <wp:positionV relativeFrom="paragraph">
                <wp:posOffset>88265</wp:posOffset>
              </wp:positionV>
              <wp:extent cx="2827020" cy="1309370"/>
              <wp:effectExtent l="0" t="0" r="0" b="5080"/>
              <wp:wrapNone/>
              <wp:docPr id="2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7020" cy="1309370"/>
                      </a:xfrm>
                      <a:prstGeom prst="rect">
                        <a:avLst/>
                      </a:prstGeom>
                      <a:noFill/>
                      <a:ln w="9525">
                        <a:noFill/>
                        <a:miter lim="800000"/>
                        <a:headEnd/>
                        <a:tailEnd/>
                      </a:ln>
                    </wps:spPr>
                    <wps:txbx>
                      <w:txbxContent>
                        <w:p w:rsidR="00763FDB"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________________________________________</w:t>
                          </w:r>
                        </w:p>
                        <w:p w:rsidR="00763FDB"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p>
                        <w:p w:rsidR="00763FDB" w:rsidRPr="00BB3D88"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Edificio </w:t>
                          </w:r>
                          <w:r w:rsidRPr="00BB3D88">
                            <w:rPr>
                              <w:rFonts w:ascii="Tahoma" w:hAnsi="Tahoma" w:cs="Tahoma"/>
                              <w:sz w:val="18"/>
                              <w:szCs w:val="18"/>
                            </w:rPr>
                            <w:t xml:space="preserve">Gobernación del Tolima, Piso 7 </w:t>
                          </w:r>
                        </w:p>
                        <w:p w:rsidR="00763FDB" w:rsidRPr="003205FF" w:rsidRDefault="009860D8" w:rsidP="003205FF">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hyperlink r:id="rId1" w:history="1">
                            <w:r w:rsidR="00763FDB" w:rsidRPr="003205FF">
                              <w:rPr>
                                <w:rStyle w:val="Hipervnculo"/>
                                <w:rFonts w:ascii="Tahoma" w:hAnsi="Tahoma" w:cs="Tahoma"/>
                                <w:color w:val="auto"/>
                                <w:sz w:val="18"/>
                                <w:szCs w:val="18"/>
                                <w:u w:val="none"/>
                              </w:rPr>
                              <w:t>despacho.contraloria@contraloriatolima.gov.co</w:t>
                            </w:r>
                          </w:hyperlink>
                        </w:p>
                        <w:p w:rsidR="00763FDB" w:rsidRPr="000352F0" w:rsidRDefault="00763FDB" w:rsidP="00351487">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r w:rsidRPr="000352F0">
                            <w:rPr>
                              <w:rFonts w:ascii="Tahoma" w:hAnsi="Tahoma" w:cs="Tahoma"/>
                              <w:sz w:val="18"/>
                              <w:szCs w:val="18"/>
                            </w:rPr>
                            <w:t xml:space="preserve">Web-Site:  </w:t>
                          </w:r>
                          <w:hyperlink r:id="rId2" w:history="1">
                            <w:r w:rsidRPr="000352F0">
                              <w:rPr>
                                <w:rStyle w:val="Hipervnculo"/>
                                <w:rFonts w:ascii="Tahoma" w:hAnsi="Tahoma" w:cs="Tahoma"/>
                                <w:color w:val="auto"/>
                                <w:sz w:val="18"/>
                                <w:szCs w:val="18"/>
                                <w:u w:val="none"/>
                              </w:rPr>
                              <w:t>www.contraloriatolima.gov.co</w:t>
                            </w:r>
                          </w:hyperlink>
                        </w:p>
                        <w:p w:rsidR="00763FDB" w:rsidRPr="00BB3D88" w:rsidRDefault="00763FDB" w:rsidP="00351487">
                          <w:pPr>
                            <w:tabs>
                              <w:tab w:val="left" w:pos="-2835"/>
                              <w:tab w:val="left" w:pos="-2694"/>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PBX: 2 </w:t>
                          </w:r>
                          <w:r w:rsidRPr="00BB3D88">
                            <w:rPr>
                              <w:rFonts w:ascii="Tahoma" w:hAnsi="Tahoma" w:cs="Tahoma"/>
                              <w:sz w:val="18"/>
                              <w:szCs w:val="18"/>
                            </w:rPr>
                            <w:t>61</w:t>
                          </w:r>
                          <w:r>
                            <w:rPr>
                              <w:rFonts w:ascii="Tahoma" w:hAnsi="Tahoma" w:cs="Tahoma"/>
                              <w:sz w:val="18"/>
                              <w:szCs w:val="18"/>
                            </w:rPr>
                            <w:t xml:space="preserve"> </w:t>
                          </w:r>
                          <w:r w:rsidRPr="00BB3D88">
                            <w:rPr>
                              <w:rFonts w:ascii="Tahoma" w:hAnsi="Tahoma" w:cs="Tahoma"/>
                              <w:sz w:val="18"/>
                              <w:szCs w:val="18"/>
                            </w:rPr>
                            <w:t>11</w:t>
                          </w:r>
                          <w:r>
                            <w:rPr>
                              <w:rFonts w:ascii="Tahoma" w:hAnsi="Tahoma" w:cs="Tahoma"/>
                              <w:sz w:val="18"/>
                              <w:szCs w:val="18"/>
                            </w:rPr>
                            <w:t xml:space="preserve"> </w:t>
                          </w:r>
                          <w:r w:rsidRPr="00BB3D88">
                            <w:rPr>
                              <w:rFonts w:ascii="Tahoma" w:hAnsi="Tahoma" w:cs="Tahoma"/>
                              <w:sz w:val="18"/>
                              <w:szCs w:val="18"/>
                            </w:rPr>
                            <w:t xml:space="preserve">67 </w:t>
                          </w:r>
                          <w:r>
                            <w:rPr>
                              <w:rFonts w:ascii="Tahoma" w:hAnsi="Tahoma" w:cs="Tahoma"/>
                              <w:sz w:val="18"/>
                              <w:szCs w:val="18"/>
                            </w:rPr>
                            <w:t>/ 2 61 11 69</w:t>
                          </w:r>
                        </w:p>
                        <w:p w:rsidR="00763FDB" w:rsidRPr="00A926CE" w:rsidRDefault="00763FDB" w:rsidP="00351487">
                          <w:pPr>
                            <w:tabs>
                              <w:tab w:val="left" w:pos="-2835"/>
                              <w:tab w:val="left" w:pos="-2694"/>
                              <w:tab w:val="left" w:pos="0"/>
                              <w:tab w:val="left" w:pos="142"/>
                            </w:tabs>
                            <w:spacing w:before="0" w:after="0"/>
                            <w:ind w:left="142"/>
                            <w:jc w:val="center"/>
                            <w:rPr>
                              <w:rFonts w:ascii="Tahoma" w:hAnsi="Tahoma" w:cs="Tahoma"/>
                              <w:sz w:val="18"/>
                              <w:szCs w:val="20"/>
                            </w:rPr>
                          </w:pPr>
                          <w:r w:rsidRPr="00A926CE">
                            <w:rPr>
                              <w:rFonts w:ascii="Tahoma" w:hAnsi="Tahoma" w:cs="Tahoma"/>
                              <w:sz w:val="18"/>
                              <w:szCs w:val="20"/>
                            </w:rPr>
                            <w:t>NIT: 890.706.847-1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7B4A50" id="_x0000_t202" coordsize="21600,21600" o:spt="202" path="m,l,21600r21600,l21600,xe">
              <v:stroke joinstyle="miter"/>
              <v:path gradientshapeok="t" o:connecttype="rect"/>
            </v:shapetype>
            <v:shape id="Cuadro de texto 2" o:spid="_x0000_s1026" type="#_x0000_t202" style="position:absolute;margin-left:-12.4pt;margin-top:6.95pt;width:222.6pt;height:103.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" filled="f" stroked="f">
              <v:textbox>
                <w:txbxContent>
                  <w:p w:rsidR="00763FDB"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________________________________________</w:t>
                    </w:r>
                  </w:p>
                  <w:p w:rsidR="00763FDB"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p>
                  <w:p w:rsidR="00763FDB" w:rsidRPr="00BB3D88"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Edificio </w:t>
                    </w:r>
                    <w:r w:rsidRPr="00BB3D88">
                      <w:rPr>
                        <w:rFonts w:ascii="Tahoma" w:hAnsi="Tahoma" w:cs="Tahoma"/>
                        <w:sz w:val="18"/>
                        <w:szCs w:val="18"/>
                      </w:rPr>
                      <w:t xml:space="preserve">Gobernación del Tolima, Piso 7 </w:t>
                    </w:r>
                  </w:p>
                  <w:p w:rsidR="00763FDB" w:rsidRPr="003205FF" w:rsidRDefault="009860D8" w:rsidP="003205FF">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hyperlink r:id="rId3" w:history="1">
                      <w:r w:rsidR="00763FDB" w:rsidRPr="003205FF">
                        <w:rPr>
                          <w:rStyle w:val="Hipervnculo"/>
                          <w:rFonts w:ascii="Tahoma" w:hAnsi="Tahoma" w:cs="Tahoma"/>
                          <w:color w:val="auto"/>
                          <w:sz w:val="18"/>
                          <w:szCs w:val="18"/>
                          <w:u w:val="none"/>
                        </w:rPr>
                        <w:t>despacho.contraloria@contraloriatolima.gov.co</w:t>
                      </w:r>
                    </w:hyperlink>
                  </w:p>
                  <w:p w:rsidR="00763FDB" w:rsidRPr="000352F0" w:rsidRDefault="00763FDB" w:rsidP="00351487">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r w:rsidRPr="000352F0">
                      <w:rPr>
                        <w:rFonts w:ascii="Tahoma" w:hAnsi="Tahoma" w:cs="Tahoma"/>
                        <w:sz w:val="18"/>
                        <w:szCs w:val="18"/>
                      </w:rPr>
                      <w:t xml:space="preserve">Web-Site:  </w:t>
                    </w:r>
                    <w:hyperlink r:id="rId4" w:history="1">
                      <w:r w:rsidRPr="000352F0">
                        <w:rPr>
                          <w:rStyle w:val="Hipervnculo"/>
                          <w:rFonts w:ascii="Tahoma" w:hAnsi="Tahoma" w:cs="Tahoma"/>
                          <w:color w:val="auto"/>
                          <w:sz w:val="18"/>
                          <w:szCs w:val="18"/>
                          <w:u w:val="none"/>
                        </w:rPr>
                        <w:t>www.contraloriatolima.gov.co</w:t>
                      </w:r>
                    </w:hyperlink>
                  </w:p>
                  <w:p w:rsidR="00763FDB" w:rsidRPr="00BB3D88" w:rsidRDefault="00763FDB" w:rsidP="00351487">
                    <w:pPr>
                      <w:tabs>
                        <w:tab w:val="left" w:pos="-2835"/>
                        <w:tab w:val="left" w:pos="-2694"/>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PBX: 2 </w:t>
                    </w:r>
                    <w:r w:rsidRPr="00BB3D88">
                      <w:rPr>
                        <w:rFonts w:ascii="Tahoma" w:hAnsi="Tahoma" w:cs="Tahoma"/>
                        <w:sz w:val="18"/>
                        <w:szCs w:val="18"/>
                      </w:rPr>
                      <w:t>61</w:t>
                    </w:r>
                    <w:r>
                      <w:rPr>
                        <w:rFonts w:ascii="Tahoma" w:hAnsi="Tahoma" w:cs="Tahoma"/>
                        <w:sz w:val="18"/>
                        <w:szCs w:val="18"/>
                      </w:rPr>
                      <w:t xml:space="preserve"> </w:t>
                    </w:r>
                    <w:r w:rsidRPr="00BB3D88">
                      <w:rPr>
                        <w:rFonts w:ascii="Tahoma" w:hAnsi="Tahoma" w:cs="Tahoma"/>
                        <w:sz w:val="18"/>
                        <w:szCs w:val="18"/>
                      </w:rPr>
                      <w:t>11</w:t>
                    </w:r>
                    <w:r>
                      <w:rPr>
                        <w:rFonts w:ascii="Tahoma" w:hAnsi="Tahoma" w:cs="Tahoma"/>
                        <w:sz w:val="18"/>
                        <w:szCs w:val="18"/>
                      </w:rPr>
                      <w:t xml:space="preserve"> </w:t>
                    </w:r>
                    <w:r w:rsidRPr="00BB3D88">
                      <w:rPr>
                        <w:rFonts w:ascii="Tahoma" w:hAnsi="Tahoma" w:cs="Tahoma"/>
                        <w:sz w:val="18"/>
                        <w:szCs w:val="18"/>
                      </w:rPr>
                      <w:t xml:space="preserve">67 </w:t>
                    </w:r>
                    <w:r>
                      <w:rPr>
                        <w:rFonts w:ascii="Tahoma" w:hAnsi="Tahoma" w:cs="Tahoma"/>
                        <w:sz w:val="18"/>
                        <w:szCs w:val="18"/>
                      </w:rPr>
                      <w:t>/ 2 61 11 69</w:t>
                    </w:r>
                  </w:p>
                  <w:p w:rsidR="00763FDB" w:rsidRPr="00A926CE" w:rsidRDefault="00763FDB" w:rsidP="00351487">
                    <w:pPr>
                      <w:tabs>
                        <w:tab w:val="left" w:pos="-2835"/>
                        <w:tab w:val="left" w:pos="-2694"/>
                        <w:tab w:val="left" w:pos="0"/>
                        <w:tab w:val="left" w:pos="142"/>
                      </w:tabs>
                      <w:spacing w:before="0" w:after="0"/>
                      <w:ind w:left="142"/>
                      <w:jc w:val="center"/>
                      <w:rPr>
                        <w:rFonts w:ascii="Tahoma" w:hAnsi="Tahoma" w:cs="Tahoma"/>
                        <w:sz w:val="18"/>
                        <w:szCs w:val="20"/>
                      </w:rPr>
                    </w:pPr>
                    <w:r w:rsidRPr="00A926CE">
                      <w:rPr>
                        <w:rFonts w:ascii="Tahoma" w:hAnsi="Tahoma" w:cs="Tahoma"/>
                        <w:sz w:val="18"/>
                        <w:szCs w:val="20"/>
                      </w:rPr>
                      <w:t>NIT: 890.706.847-1</w:t>
                    </w:r>
                  </w:p>
                </w:txbxContent>
              </v:textbox>
            </v:shape>
          </w:pict>
        </mc:Fallback>
      </mc:AlternateContent>
    </w:r>
    <w:r w:rsidRPr="00070555">
      <w:rPr>
        <w:rFonts w:ascii="Tahoma" w:hAnsi="Tahoma" w:cs="Tahoma"/>
        <w:noProof/>
        <w:sz w:val="14"/>
        <w:szCs w:val="20"/>
      </w:rPr>
      <mc:AlternateContent>
        <mc:Choice Requires="wps">
          <w:drawing>
            <wp:anchor distT="0" distB="0" distL="114300" distR="114300" simplePos="0" relativeHeight="251668480" behindDoc="0" locked="0" layoutInCell="1" allowOverlap="1" wp14:anchorId="58408BEE" wp14:editId="3F4509F8">
              <wp:simplePos x="0" y="0"/>
              <wp:positionH relativeFrom="column">
                <wp:posOffset>2510790</wp:posOffset>
              </wp:positionH>
              <wp:positionV relativeFrom="paragraph">
                <wp:posOffset>28575</wp:posOffset>
              </wp:positionV>
              <wp:extent cx="1190625" cy="297815"/>
              <wp:effectExtent l="0" t="0" r="0" b="0"/>
              <wp:wrapNone/>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297815"/>
                      </a:xfrm>
                      <a:prstGeom prst="rect">
                        <a:avLst/>
                      </a:prstGeom>
                      <a:noFill/>
                      <a:ln w="9525">
                        <a:noFill/>
                        <a:miter lim="800000"/>
                        <a:headEnd/>
                        <a:tailEnd/>
                      </a:ln>
                    </wps:spPr>
                    <wps:txbx>
                      <w:txbxContent>
                        <w:p w:rsidR="00763FDB" w:rsidRPr="003205FF" w:rsidRDefault="00763FDB" w:rsidP="00B6483D">
                          <w:pPr>
                            <w:jc w:val="center"/>
                            <w:rPr>
                              <w:rFonts w:ascii="Tahoma" w:hAnsi="Tahoma" w:cs="Tahoma"/>
                              <w:sz w:val="14"/>
                              <w:szCs w:val="16"/>
                            </w:rPr>
                          </w:pPr>
                          <w:r w:rsidRPr="003205FF">
                            <w:rPr>
                              <w:rFonts w:ascii="Tahoma" w:hAnsi="Tahoma" w:cs="Tahoma"/>
                              <w:sz w:val="14"/>
                              <w:szCs w:val="16"/>
                            </w:rPr>
                            <w:fldChar w:fldCharType="begin"/>
                          </w:r>
                          <w:r w:rsidRPr="003205FF">
                            <w:rPr>
                              <w:rFonts w:ascii="Tahoma" w:hAnsi="Tahoma" w:cs="Tahoma"/>
                              <w:sz w:val="14"/>
                              <w:szCs w:val="16"/>
                            </w:rPr>
                            <w:instrText>PAGE  \* Arabic  \* MERGEFORMAT</w:instrText>
                          </w:r>
                          <w:r w:rsidRPr="003205FF">
                            <w:rPr>
                              <w:rFonts w:ascii="Tahoma" w:hAnsi="Tahoma" w:cs="Tahoma"/>
                              <w:sz w:val="14"/>
                              <w:szCs w:val="16"/>
                            </w:rPr>
                            <w:fldChar w:fldCharType="separate"/>
                          </w:r>
                          <w:r w:rsidR="009860D8" w:rsidRPr="009860D8">
                            <w:rPr>
                              <w:rFonts w:ascii="Tahoma" w:hAnsi="Tahoma" w:cs="Tahoma"/>
                              <w:noProof/>
                              <w:sz w:val="14"/>
                              <w:szCs w:val="16"/>
                              <w:lang w:val="es-ES"/>
                            </w:rPr>
                            <w:t>14</w:t>
                          </w:r>
                          <w:r w:rsidRPr="003205FF">
                            <w:rPr>
                              <w:rFonts w:ascii="Tahoma" w:hAnsi="Tahoma" w:cs="Tahoma"/>
                              <w:sz w:val="14"/>
                              <w:szCs w:val="16"/>
                            </w:rPr>
                            <w:fldChar w:fldCharType="end"/>
                          </w:r>
                          <w:r w:rsidRPr="003205FF">
                            <w:rPr>
                              <w:rFonts w:ascii="Tahoma" w:hAnsi="Tahoma" w:cs="Tahoma"/>
                              <w:sz w:val="12"/>
                              <w:szCs w:val="16"/>
                              <w:lang w:val="es-ES"/>
                            </w:rPr>
                            <w:t xml:space="preserve"> de </w:t>
                          </w:r>
                          <w:r w:rsidRPr="003205FF">
                            <w:rPr>
                              <w:rFonts w:ascii="Tahoma" w:hAnsi="Tahoma" w:cs="Tahoma"/>
                              <w:sz w:val="14"/>
                              <w:szCs w:val="16"/>
                            </w:rPr>
                            <w:fldChar w:fldCharType="begin"/>
                          </w:r>
                          <w:r w:rsidRPr="003205FF">
                            <w:rPr>
                              <w:rFonts w:ascii="Tahoma" w:hAnsi="Tahoma" w:cs="Tahoma"/>
                              <w:sz w:val="14"/>
                              <w:szCs w:val="16"/>
                            </w:rPr>
                            <w:instrText>NUMPAGES  \* Arabic  \* MERGEFORMAT</w:instrText>
                          </w:r>
                          <w:r w:rsidRPr="003205FF">
                            <w:rPr>
                              <w:rFonts w:ascii="Tahoma" w:hAnsi="Tahoma" w:cs="Tahoma"/>
                              <w:sz w:val="14"/>
                              <w:szCs w:val="16"/>
                            </w:rPr>
                            <w:fldChar w:fldCharType="separate"/>
                          </w:r>
                          <w:r w:rsidR="009860D8" w:rsidRPr="009860D8">
                            <w:rPr>
                              <w:rFonts w:ascii="Tahoma" w:hAnsi="Tahoma" w:cs="Tahoma"/>
                              <w:noProof/>
                              <w:sz w:val="14"/>
                              <w:szCs w:val="16"/>
                              <w:lang w:val="es-ES"/>
                            </w:rPr>
                            <w:t>16</w:t>
                          </w:r>
                          <w:r w:rsidRPr="003205FF">
                            <w:rPr>
                              <w:rFonts w:ascii="Tahoma" w:hAnsi="Tahoma" w:cs="Tahoma"/>
                              <w:sz w:val="14"/>
                              <w:szCs w:val="16"/>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408BEE" id="_x0000_s1027" type="#_x0000_t202" style="position:absolute;margin-left:197.7pt;margin-top:2.25pt;width:93.75pt;height:23.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" filled="f" stroked="f">
              <v:textbox>
                <w:txbxContent>
                  <w:p w:rsidR="00763FDB" w:rsidRPr="003205FF" w:rsidRDefault="00763FDB" w:rsidP="00B6483D">
                    <w:pPr>
                      <w:jc w:val="center"/>
                      <w:rPr>
                        <w:rFonts w:ascii="Tahoma" w:hAnsi="Tahoma" w:cs="Tahoma"/>
                        <w:sz w:val="14"/>
                        <w:szCs w:val="16"/>
                      </w:rPr>
                    </w:pPr>
                    <w:r w:rsidRPr="003205FF">
                      <w:rPr>
                        <w:rFonts w:ascii="Tahoma" w:hAnsi="Tahoma" w:cs="Tahoma"/>
                        <w:sz w:val="14"/>
                        <w:szCs w:val="16"/>
                      </w:rPr>
                      <w:fldChar w:fldCharType="begin"/>
                    </w:r>
                    <w:r w:rsidRPr="003205FF">
                      <w:rPr>
                        <w:rFonts w:ascii="Tahoma" w:hAnsi="Tahoma" w:cs="Tahoma"/>
                        <w:sz w:val="14"/>
                        <w:szCs w:val="16"/>
                      </w:rPr>
                      <w:instrText>PAGE  \* Arabic  \* MERGEFORMAT</w:instrText>
                    </w:r>
                    <w:r w:rsidRPr="003205FF">
                      <w:rPr>
                        <w:rFonts w:ascii="Tahoma" w:hAnsi="Tahoma" w:cs="Tahoma"/>
                        <w:sz w:val="14"/>
                        <w:szCs w:val="16"/>
                      </w:rPr>
                      <w:fldChar w:fldCharType="separate"/>
                    </w:r>
                    <w:r w:rsidR="009860D8" w:rsidRPr="009860D8">
                      <w:rPr>
                        <w:rFonts w:ascii="Tahoma" w:hAnsi="Tahoma" w:cs="Tahoma"/>
                        <w:noProof/>
                        <w:sz w:val="14"/>
                        <w:szCs w:val="16"/>
                        <w:lang w:val="es-ES"/>
                      </w:rPr>
                      <w:t>14</w:t>
                    </w:r>
                    <w:r w:rsidRPr="003205FF">
                      <w:rPr>
                        <w:rFonts w:ascii="Tahoma" w:hAnsi="Tahoma" w:cs="Tahoma"/>
                        <w:sz w:val="14"/>
                        <w:szCs w:val="16"/>
                      </w:rPr>
                      <w:fldChar w:fldCharType="end"/>
                    </w:r>
                    <w:r w:rsidRPr="003205FF">
                      <w:rPr>
                        <w:rFonts w:ascii="Tahoma" w:hAnsi="Tahoma" w:cs="Tahoma"/>
                        <w:sz w:val="12"/>
                        <w:szCs w:val="16"/>
                        <w:lang w:val="es-ES"/>
                      </w:rPr>
                      <w:t xml:space="preserve"> de </w:t>
                    </w:r>
                    <w:r w:rsidRPr="003205FF">
                      <w:rPr>
                        <w:rFonts w:ascii="Tahoma" w:hAnsi="Tahoma" w:cs="Tahoma"/>
                        <w:sz w:val="14"/>
                        <w:szCs w:val="16"/>
                      </w:rPr>
                      <w:fldChar w:fldCharType="begin"/>
                    </w:r>
                    <w:r w:rsidRPr="003205FF">
                      <w:rPr>
                        <w:rFonts w:ascii="Tahoma" w:hAnsi="Tahoma" w:cs="Tahoma"/>
                        <w:sz w:val="14"/>
                        <w:szCs w:val="16"/>
                      </w:rPr>
                      <w:instrText>NUMPAGES  \* Arabic  \* MERGEFORMAT</w:instrText>
                    </w:r>
                    <w:r w:rsidRPr="003205FF">
                      <w:rPr>
                        <w:rFonts w:ascii="Tahoma" w:hAnsi="Tahoma" w:cs="Tahoma"/>
                        <w:sz w:val="14"/>
                        <w:szCs w:val="16"/>
                      </w:rPr>
                      <w:fldChar w:fldCharType="separate"/>
                    </w:r>
                    <w:r w:rsidR="009860D8" w:rsidRPr="009860D8">
                      <w:rPr>
                        <w:rFonts w:ascii="Tahoma" w:hAnsi="Tahoma" w:cs="Tahoma"/>
                        <w:noProof/>
                        <w:sz w:val="14"/>
                        <w:szCs w:val="16"/>
                        <w:lang w:val="es-ES"/>
                      </w:rPr>
                      <w:t>16</w:t>
                    </w:r>
                    <w:r w:rsidRPr="003205FF">
                      <w:rPr>
                        <w:rFonts w:ascii="Tahoma" w:hAnsi="Tahoma" w:cs="Tahoma"/>
                        <w:sz w:val="14"/>
                        <w:szCs w:val="16"/>
                      </w:rPr>
                      <w:fldChar w:fldCharType="end"/>
                    </w:r>
                  </w:p>
                </w:txbxContent>
              </v:textbox>
            </v:shape>
          </w:pict>
        </mc:Fallback>
      </mc:AlternateContent>
    </w:r>
  </w:p>
  <w:p w:rsidR="00763FDB" w:rsidRPr="00070555" w:rsidRDefault="00763FDB">
    <w:pPr>
      <w:pStyle w:val="Piedepgina"/>
      <w:rPr>
        <w:rFonts w:ascii="Tahoma" w:hAnsi="Tahoma" w:cs="Tahom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54AA" w:rsidRDefault="00F554AA" w:rsidP="00650A99">
      <w:r>
        <w:separator/>
      </w:r>
    </w:p>
  </w:footnote>
  <w:footnote w:type="continuationSeparator" w:id="0">
    <w:p w:rsidR="00F554AA" w:rsidRDefault="00F554AA" w:rsidP="00650A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FDB" w:rsidRPr="00124F58" w:rsidRDefault="00763FDB">
    <w:pPr>
      <w:pStyle w:val="Encabezado"/>
      <w:rPr>
        <w:rFonts w:ascii="Tahoma" w:hAnsi="Tahoma" w:cs="Tahoma"/>
        <w:sz w:val="8"/>
      </w:rPr>
    </w:pPr>
  </w:p>
  <w:p w:rsidR="00763FDB" w:rsidRDefault="002D4F90">
    <w:pPr>
      <w:pStyle w:val="Encabezado"/>
    </w:pPr>
    <w:r>
      <w:rPr>
        <w:noProof/>
      </w:rPr>
      <w:drawing>
        <wp:inline distT="0" distB="0" distL="0" distR="0">
          <wp:extent cx="1571625" cy="1219200"/>
          <wp:effectExtent l="0" t="0" r="9525" b="0"/>
          <wp:docPr id="1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 Contraloria.png"/>
                  <pic:cNvPicPr/>
                </pic:nvPicPr>
                <pic:blipFill>
                  <a:blip r:embed="rId1">
                    <a:extLst>
                      <a:ext uri="{28A0092B-C50C-407E-A947-70E740481C1C}">
                        <a14:useLocalDpi xmlns:a14="http://schemas.microsoft.com/office/drawing/2010/main" val="0"/>
                      </a:ext>
                    </a:extLst>
                  </a:blip>
                  <a:stretch>
                    <a:fillRect/>
                  </a:stretch>
                </pic:blipFill>
                <pic:spPr>
                  <a:xfrm>
                    <a:off x="0" y="0"/>
                    <a:ext cx="1571625" cy="12192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83920"/>
    <w:multiLevelType w:val="multilevel"/>
    <w:tmpl w:val="489AB9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
    <w:nsid w:val="0DB803C8"/>
    <w:multiLevelType w:val="multilevel"/>
    <w:tmpl w:val="489AB9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
    <w:nsid w:val="5CD9317C"/>
    <w:multiLevelType w:val="multilevel"/>
    <w:tmpl w:val="44168DE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ocumentProtection w:edit="readOnly"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A99"/>
    <w:rsid w:val="00001B0E"/>
    <w:rsid w:val="00004FE1"/>
    <w:rsid w:val="00014DDB"/>
    <w:rsid w:val="000229B5"/>
    <w:rsid w:val="00025419"/>
    <w:rsid w:val="0003468E"/>
    <w:rsid w:val="000352F0"/>
    <w:rsid w:val="0003642F"/>
    <w:rsid w:val="000367BB"/>
    <w:rsid w:val="00040B1A"/>
    <w:rsid w:val="00043E5E"/>
    <w:rsid w:val="000448FA"/>
    <w:rsid w:val="00044B50"/>
    <w:rsid w:val="000479B3"/>
    <w:rsid w:val="00054A9B"/>
    <w:rsid w:val="00054CD9"/>
    <w:rsid w:val="0006131A"/>
    <w:rsid w:val="000653AB"/>
    <w:rsid w:val="00070555"/>
    <w:rsid w:val="000711BD"/>
    <w:rsid w:val="000714F0"/>
    <w:rsid w:val="0007281C"/>
    <w:rsid w:val="00072FEB"/>
    <w:rsid w:val="00073152"/>
    <w:rsid w:val="00074463"/>
    <w:rsid w:val="00075575"/>
    <w:rsid w:val="00081209"/>
    <w:rsid w:val="00081BF9"/>
    <w:rsid w:val="00084A9E"/>
    <w:rsid w:val="00084FFA"/>
    <w:rsid w:val="00093AFB"/>
    <w:rsid w:val="00094D4C"/>
    <w:rsid w:val="000A1063"/>
    <w:rsid w:val="000B1067"/>
    <w:rsid w:val="000B2584"/>
    <w:rsid w:val="000B334F"/>
    <w:rsid w:val="000B45AA"/>
    <w:rsid w:val="000C19B8"/>
    <w:rsid w:val="000C524A"/>
    <w:rsid w:val="000C640F"/>
    <w:rsid w:val="000C699D"/>
    <w:rsid w:val="000D251E"/>
    <w:rsid w:val="000D715E"/>
    <w:rsid w:val="000E117C"/>
    <w:rsid w:val="000E1A99"/>
    <w:rsid w:val="000E6AAA"/>
    <w:rsid w:val="000F17B4"/>
    <w:rsid w:val="000F2E89"/>
    <w:rsid w:val="000F4FA1"/>
    <w:rsid w:val="000F5879"/>
    <w:rsid w:val="001077DC"/>
    <w:rsid w:val="00111B97"/>
    <w:rsid w:val="00113518"/>
    <w:rsid w:val="00120691"/>
    <w:rsid w:val="001206EF"/>
    <w:rsid w:val="00124F58"/>
    <w:rsid w:val="001301DF"/>
    <w:rsid w:val="00131E4E"/>
    <w:rsid w:val="00132C47"/>
    <w:rsid w:val="0013431C"/>
    <w:rsid w:val="001361E3"/>
    <w:rsid w:val="0014091C"/>
    <w:rsid w:val="0014355A"/>
    <w:rsid w:val="0014403D"/>
    <w:rsid w:val="00146B0F"/>
    <w:rsid w:val="0015068C"/>
    <w:rsid w:val="00150761"/>
    <w:rsid w:val="001531E5"/>
    <w:rsid w:val="00153A3B"/>
    <w:rsid w:val="001542DE"/>
    <w:rsid w:val="001605A0"/>
    <w:rsid w:val="00164E1E"/>
    <w:rsid w:val="00166D26"/>
    <w:rsid w:val="0017250D"/>
    <w:rsid w:val="00174209"/>
    <w:rsid w:val="001771C0"/>
    <w:rsid w:val="00181EE3"/>
    <w:rsid w:val="001863EB"/>
    <w:rsid w:val="00196F51"/>
    <w:rsid w:val="001A5473"/>
    <w:rsid w:val="001B0E71"/>
    <w:rsid w:val="001B29EB"/>
    <w:rsid w:val="001B475A"/>
    <w:rsid w:val="001B6C00"/>
    <w:rsid w:val="001B7E9B"/>
    <w:rsid w:val="001C1EA3"/>
    <w:rsid w:val="001C4742"/>
    <w:rsid w:val="001C7699"/>
    <w:rsid w:val="001D1B45"/>
    <w:rsid w:val="001D6862"/>
    <w:rsid w:val="001E008D"/>
    <w:rsid w:val="001E0386"/>
    <w:rsid w:val="001E0C5A"/>
    <w:rsid w:val="001E19D5"/>
    <w:rsid w:val="001E2CF6"/>
    <w:rsid w:val="001E479B"/>
    <w:rsid w:val="001F0D65"/>
    <w:rsid w:val="001F11A4"/>
    <w:rsid w:val="001F3E0C"/>
    <w:rsid w:val="001F7AEE"/>
    <w:rsid w:val="002016AE"/>
    <w:rsid w:val="00201E97"/>
    <w:rsid w:val="00202B7B"/>
    <w:rsid w:val="002049C5"/>
    <w:rsid w:val="00211946"/>
    <w:rsid w:val="00216974"/>
    <w:rsid w:val="00217489"/>
    <w:rsid w:val="002206E8"/>
    <w:rsid w:val="00224140"/>
    <w:rsid w:val="00226503"/>
    <w:rsid w:val="00230103"/>
    <w:rsid w:val="00231ECA"/>
    <w:rsid w:val="00233415"/>
    <w:rsid w:val="00250B2A"/>
    <w:rsid w:val="002510E7"/>
    <w:rsid w:val="00254A87"/>
    <w:rsid w:val="0025641D"/>
    <w:rsid w:val="00256F6A"/>
    <w:rsid w:val="00264A57"/>
    <w:rsid w:val="00267A53"/>
    <w:rsid w:val="002702FE"/>
    <w:rsid w:val="002751D2"/>
    <w:rsid w:val="00282118"/>
    <w:rsid w:val="00282A1A"/>
    <w:rsid w:val="00287CE6"/>
    <w:rsid w:val="00292AA4"/>
    <w:rsid w:val="00293B22"/>
    <w:rsid w:val="00294D5A"/>
    <w:rsid w:val="00294FB6"/>
    <w:rsid w:val="00295E85"/>
    <w:rsid w:val="002978F4"/>
    <w:rsid w:val="00297AD1"/>
    <w:rsid w:val="002A0B28"/>
    <w:rsid w:val="002A4035"/>
    <w:rsid w:val="002A5283"/>
    <w:rsid w:val="002A56BC"/>
    <w:rsid w:val="002B023D"/>
    <w:rsid w:val="002C19FA"/>
    <w:rsid w:val="002C24CB"/>
    <w:rsid w:val="002D4F90"/>
    <w:rsid w:val="002D5091"/>
    <w:rsid w:val="002D62AF"/>
    <w:rsid w:val="002E6C96"/>
    <w:rsid w:val="002F0376"/>
    <w:rsid w:val="002F13E5"/>
    <w:rsid w:val="002F1B9A"/>
    <w:rsid w:val="002F3B9C"/>
    <w:rsid w:val="00300E2D"/>
    <w:rsid w:val="00302682"/>
    <w:rsid w:val="003026A2"/>
    <w:rsid w:val="00303824"/>
    <w:rsid w:val="00314840"/>
    <w:rsid w:val="003203FA"/>
    <w:rsid w:val="003205FF"/>
    <w:rsid w:val="00321EC8"/>
    <w:rsid w:val="00322659"/>
    <w:rsid w:val="003305B2"/>
    <w:rsid w:val="00332DE4"/>
    <w:rsid w:val="00337AB0"/>
    <w:rsid w:val="0034022F"/>
    <w:rsid w:val="00341B3E"/>
    <w:rsid w:val="00351487"/>
    <w:rsid w:val="00356B3F"/>
    <w:rsid w:val="00362AAB"/>
    <w:rsid w:val="00367CB1"/>
    <w:rsid w:val="00370F6C"/>
    <w:rsid w:val="00372933"/>
    <w:rsid w:val="00372F40"/>
    <w:rsid w:val="00373B6D"/>
    <w:rsid w:val="003751E2"/>
    <w:rsid w:val="00375CC7"/>
    <w:rsid w:val="003834EF"/>
    <w:rsid w:val="00383D8B"/>
    <w:rsid w:val="0039183D"/>
    <w:rsid w:val="00391C14"/>
    <w:rsid w:val="00394BA1"/>
    <w:rsid w:val="003956E5"/>
    <w:rsid w:val="00397766"/>
    <w:rsid w:val="003A2A88"/>
    <w:rsid w:val="003A497B"/>
    <w:rsid w:val="003A5822"/>
    <w:rsid w:val="003B030A"/>
    <w:rsid w:val="003B6AFE"/>
    <w:rsid w:val="003C33E8"/>
    <w:rsid w:val="003C5E57"/>
    <w:rsid w:val="003D4B2C"/>
    <w:rsid w:val="003D7840"/>
    <w:rsid w:val="003F0FDF"/>
    <w:rsid w:val="003F4BDE"/>
    <w:rsid w:val="003F5E08"/>
    <w:rsid w:val="00400814"/>
    <w:rsid w:val="00401619"/>
    <w:rsid w:val="004032C1"/>
    <w:rsid w:val="00407637"/>
    <w:rsid w:val="004120E2"/>
    <w:rsid w:val="00415CC3"/>
    <w:rsid w:val="00425FF4"/>
    <w:rsid w:val="00430D77"/>
    <w:rsid w:val="004312CF"/>
    <w:rsid w:val="0043141A"/>
    <w:rsid w:val="00433EE8"/>
    <w:rsid w:val="00441F50"/>
    <w:rsid w:val="00441F85"/>
    <w:rsid w:val="0044795F"/>
    <w:rsid w:val="00452E65"/>
    <w:rsid w:val="00454315"/>
    <w:rsid w:val="00454B8B"/>
    <w:rsid w:val="0046718C"/>
    <w:rsid w:val="00467508"/>
    <w:rsid w:val="00467595"/>
    <w:rsid w:val="00471A9A"/>
    <w:rsid w:val="00473EB7"/>
    <w:rsid w:val="00477304"/>
    <w:rsid w:val="004803CC"/>
    <w:rsid w:val="00480FCA"/>
    <w:rsid w:val="00481490"/>
    <w:rsid w:val="0048203B"/>
    <w:rsid w:val="00482348"/>
    <w:rsid w:val="0048241E"/>
    <w:rsid w:val="00485A4C"/>
    <w:rsid w:val="00490E57"/>
    <w:rsid w:val="00493CDB"/>
    <w:rsid w:val="00494AA1"/>
    <w:rsid w:val="00496461"/>
    <w:rsid w:val="00496A15"/>
    <w:rsid w:val="004A00E3"/>
    <w:rsid w:val="004A6393"/>
    <w:rsid w:val="004A698D"/>
    <w:rsid w:val="004B10C8"/>
    <w:rsid w:val="004B1676"/>
    <w:rsid w:val="004B3739"/>
    <w:rsid w:val="004B3A5F"/>
    <w:rsid w:val="004B791D"/>
    <w:rsid w:val="004B7B3F"/>
    <w:rsid w:val="004C10FE"/>
    <w:rsid w:val="004C250E"/>
    <w:rsid w:val="004C27B6"/>
    <w:rsid w:val="004D0347"/>
    <w:rsid w:val="004D13A4"/>
    <w:rsid w:val="004E17F3"/>
    <w:rsid w:val="004E3F57"/>
    <w:rsid w:val="004E585C"/>
    <w:rsid w:val="004E655D"/>
    <w:rsid w:val="004F0F16"/>
    <w:rsid w:val="004F2F93"/>
    <w:rsid w:val="004F758C"/>
    <w:rsid w:val="004F7914"/>
    <w:rsid w:val="004F7C44"/>
    <w:rsid w:val="00502C12"/>
    <w:rsid w:val="00504C03"/>
    <w:rsid w:val="00505067"/>
    <w:rsid w:val="00505A4E"/>
    <w:rsid w:val="005073CF"/>
    <w:rsid w:val="00511C4D"/>
    <w:rsid w:val="005150C9"/>
    <w:rsid w:val="00515BBF"/>
    <w:rsid w:val="00516E68"/>
    <w:rsid w:val="005172FE"/>
    <w:rsid w:val="00517C86"/>
    <w:rsid w:val="00520FA4"/>
    <w:rsid w:val="00521391"/>
    <w:rsid w:val="005220BC"/>
    <w:rsid w:val="00524E1D"/>
    <w:rsid w:val="0052650A"/>
    <w:rsid w:val="00527649"/>
    <w:rsid w:val="005279E8"/>
    <w:rsid w:val="005325B4"/>
    <w:rsid w:val="0053385B"/>
    <w:rsid w:val="00536B82"/>
    <w:rsid w:val="0054263E"/>
    <w:rsid w:val="00551911"/>
    <w:rsid w:val="00551920"/>
    <w:rsid w:val="00552A0E"/>
    <w:rsid w:val="00552B7F"/>
    <w:rsid w:val="005540CE"/>
    <w:rsid w:val="00554A6E"/>
    <w:rsid w:val="00560B0C"/>
    <w:rsid w:val="00562B5C"/>
    <w:rsid w:val="00563D53"/>
    <w:rsid w:val="00565F73"/>
    <w:rsid w:val="00567980"/>
    <w:rsid w:val="005679E4"/>
    <w:rsid w:val="00577624"/>
    <w:rsid w:val="00577ABF"/>
    <w:rsid w:val="00585BCF"/>
    <w:rsid w:val="00585ED0"/>
    <w:rsid w:val="005916D2"/>
    <w:rsid w:val="00595C35"/>
    <w:rsid w:val="00595DA7"/>
    <w:rsid w:val="00595ED2"/>
    <w:rsid w:val="005A6091"/>
    <w:rsid w:val="005B1E55"/>
    <w:rsid w:val="005B6E10"/>
    <w:rsid w:val="005B6F12"/>
    <w:rsid w:val="005C0DCB"/>
    <w:rsid w:val="005C46B0"/>
    <w:rsid w:val="005D173F"/>
    <w:rsid w:val="005D17BC"/>
    <w:rsid w:val="005D4B42"/>
    <w:rsid w:val="005D655F"/>
    <w:rsid w:val="005E0E4A"/>
    <w:rsid w:val="005E1D3C"/>
    <w:rsid w:val="005E1DE9"/>
    <w:rsid w:val="005E5E78"/>
    <w:rsid w:val="005F11EA"/>
    <w:rsid w:val="005F4A02"/>
    <w:rsid w:val="005F5D93"/>
    <w:rsid w:val="00603AAD"/>
    <w:rsid w:val="00604208"/>
    <w:rsid w:val="006075BD"/>
    <w:rsid w:val="00617E98"/>
    <w:rsid w:val="00622F53"/>
    <w:rsid w:val="006309B9"/>
    <w:rsid w:val="00640913"/>
    <w:rsid w:val="00641842"/>
    <w:rsid w:val="00650A99"/>
    <w:rsid w:val="0065485A"/>
    <w:rsid w:val="00664223"/>
    <w:rsid w:val="00670D69"/>
    <w:rsid w:val="0067483D"/>
    <w:rsid w:val="006753C6"/>
    <w:rsid w:val="00676443"/>
    <w:rsid w:val="006807AC"/>
    <w:rsid w:val="00682367"/>
    <w:rsid w:val="00685EF4"/>
    <w:rsid w:val="006928D1"/>
    <w:rsid w:val="00692975"/>
    <w:rsid w:val="00697D59"/>
    <w:rsid w:val="006A0029"/>
    <w:rsid w:val="006A05D6"/>
    <w:rsid w:val="006A0F41"/>
    <w:rsid w:val="006A5990"/>
    <w:rsid w:val="006A5FCB"/>
    <w:rsid w:val="006A6FC6"/>
    <w:rsid w:val="006B0537"/>
    <w:rsid w:val="006B5985"/>
    <w:rsid w:val="006B765E"/>
    <w:rsid w:val="006C7116"/>
    <w:rsid w:val="006D2B4A"/>
    <w:rsid w:val="006D7C83"/>
    <w:rsid w:val="006E4583"/>
    <w:rsid w:val="006E5817"/>
    <w:rsid w:val="006F03F4"/>
    <w:rsid w:val="006F26B2"/>
    <w:rsid w:val="006F58C5"/>
    <w:rsid w:val="006F7B44"/>
    <w:rsid w:val="00700DA8"/>
    <w:rsid w:val="00700DB0"/>
    <w:rsid w:val="0070120A"/>
    <w:rsid w:val="00702901"/>
    <w:rsid w:val="007042C0"/>
    <w:rsid w:val="007050ED"/>
    <w:rsid w:val="007057E8"/>
    <w:rsid w:val="007062D9"/>
    <w:rsid w:val="00706545"/>
    <w:rsid w:val="00712F01"/>
    <w:rsid w:val="0073154E"/>
    <w:rsid w:val="00735592"/>
    <w:rsid w:val="00736B63"/>
    <w:rsid w:val="00741448"/>
    <w:rsid w:val="00743253"/>
    <w:rsid w:val="00743E1A"/>
    <w:rsid w:val="00745063"/>
    <w:rsid w:val="00745F39"/>
    <w:rsid w:val="00747180"/>
    <w:rsid w:val="00762866"/>
    <w:rsid w:val="00763FDB"/>
    <w:rsid w:val="007641A0"/>
    <w:rsid w:val="00766EC2"/>
    <w:rsid w:val="00767FB9"/>
    <w:rsid w:val="00770276"/>
    <w:rsid w:val="00770887"/>
    <w:rsid w:val="00770ADC"/>
    <w:rsid w:val="00771928"/>
    <w:rsid w:val="00773282"/>
    <w:rsid w:val="00773547"/>
    <w:rsid w:val="00775756"/>
    <w:rsid w:val="00776215"/>
    <w:rsid w:val="007828B7"/>
    <w:rsid w:val="00782F33"/>
    <w:rsid w:val="007877F3"/>
    <w:rsid w:val="00790020"/>
    <w:rsid w:val="00790739"/>
    <w:rsid w:val="00792612"/>
    <w:rsid w:val="00796DDA"/>
    <w:rsid w:val="007A4D8D"/>
    <w:rsid w:val="007B4882"/>
    <w:rsid w:val="007B5621"/>
    <w:rsid w:val="007B6AD6"/>
    <w:rsid w:val="007B70F7"/>
    <w:rsid w:val="007C336F"/>
    <w:rsid w:val="007C4270"/>
    <w:rsid w:val="007C450B"/>
    <w:rsid w:val="007C4578"/>
    <w:rsid w:val="007C532D"/>
    <w:rsid w:val="007D411F"/>
    <w:rsid w:val="007E1795"/>
    <w:rsid w:val="007E35B4"/>
    <w:rsid w:val="007E45F2"/>
    <w:rsid w:val="007F2F30"/>
    <w:rsid w:val="007F40C8"/>
    <w:rsid w:val="007F6500"/>
    <w:rsid w:val="007F7858"/>
    <w:rsid w:val="007F7C04"/>
    <w:rsid w:val="00800EA9"/>
    <w:rsid w:val="008036D7"/>
    <w:rsid w:val="00804D2D"/>
    <w:rsid w:val="00806566"/>
    <w:rsid w:val="00807EFC"/>
    <w:rsid w:val="00810084"/>
    <w:rsid w:val="00811831"/>
    <w:rsid w:val="008120FD"/>
    <w:rsid w:val="00815CEE"/>
    <w:rsid w:val="00815D0B"/>
    <w:rsid w:val="008165BB"/>
    <w:rsid w:val="008175B2"/>
    <w:rsid w:val="00817D8E"/>
    <w:rsid w:val="00820529"/>
    <w:rsid w:val="00821EDD"/>
    <w:rsid w:val="00827082"/>
    <w:rsid w:val="00832014"/>
    <w:rsid w:val="00836C5C"/>
    <w:rsid w:val="008442CE"/>
    <w:rsid w:val="008445AE"/>
    <w:rsid w:val="00844F12"/>
    <w:rsid w:val="00852E16"/>
    <w:rsid w:val="00857DE1"/>
    <w:rsid w:val="008647D1"/>
    <w:rsid w:val="00865165"/>
    <w:rsid w:val="00865411"/>
    <w:rsid w:val="0087308F"/>
    <w:rsid w:val="0087506E"/>
    <w:rsid w:val="008751D9"/>
    <w:rsid w:val="008761A0"/>
    <w:rsid w:val="00881C9C"/>
    <w:rsid w:val="0088732D"/>
    <w:rsid w:val="00896EAD"/>
    <w:rsid w:val="008A0307"/>
    <w:rsid w:val="008A3FB8"/>
    <w:rsid w:val="008A5D7F"/>
    <w:rsid w:val="008B0625"/>
    <w:rsid w:val="008B30C9"/>
    <w:rsid w:val="008B7176"/>
    <w:rsid w:val="008C00FD"/>
    <w:rsid w:val="008C2780"/>
    <w:rsid w:val="008C2EA2"/>
    <w:rsid w:val="008C73D6"/>
    <w:rsid w:val="008C7A2F"/>
    <w:rsid w:val="008E2ADB"/>
    <w:rsid w:val="008E40B7"/>
    <w:rsid w:val="008E6775"/>
    <w:rsid w:val="008E78EB"/>
    <w:rsid w:val="008F6815"/>
    <w:rsid w:val="00901C37"/>
    <w:rsid w:val="00902FDE"/>
    <w:rsid w:val="009058D0"/>
    <w:rsid w:val="00907660"/>
    <w:rsid w:val="00913AD5"/>
    <w:rsid w:val="00914565"/>
    <w:rsid w:val="00915224"/>
    <w:rsid w:val="00926286"/>
    <w:rsid w:val="00926B45"/>
    <w:rsid w:val="00934CE3"/>
    <w:rsid w:val="00942F02"/>
    <w:rsid w:val="00943029"/>
    <w:rsid w:val="00950A8A"/>
    <w:rsid w:val="00953438"/>
    <w:rsid w:val="00956098"/>
    <w:rsid w:val="009606B3"/>
    <w:rsid w:val="0096241A"/>
    <w:rsid w:val="00966EAD"/>
    <w:rsid w:val="00973D1A"/>
    <w:rsid w:val="0097536C"/>
    <w:rsid w:val="0098143F"/>
    <w:rsid w:val="00982549"/>
    <w:rsid w:val="009848DF"/>
    <w:rsid w:val="009860D8"/>
    <w:rsid w:val="00986F71"/>
    <w:rsid w:val="00990B51"/>
    <w:rsid w:val="0099278C"/>
    <w:rsid w:val="00996A17"/>
    <w:rsid w:val="009A3F4E"/>
    <w:rsid w:val="009A5596"/>
    <w:rsid w:val="009A7AA1"/>
    <w:rsid w:val="009B2860"/>
    <w:rsid w:val="009B38B1"/>
    <w:rsid w:val="009B4265"/>
    <w:rsid w:val="009B7AC7"/>
    <w:rsid w:val="009C0615"/>
    <w:rsid w:val="009C3354"/>
    <w:rsid w:val="009C5C1A"/>
    <w:rsid w:val="009C7A81"/>
    <w:rsid w:val="009C7C0D"/>
    <w:rsid w:val="009D4B99"/>
    <w:rsid w:val="009D7ECE"/>
    <w:rsid w:val="009E5D05"/>
    <w:rsid w:val="009F0492"/>
    <w:rsid w:val="009F248B"/>
    <w:rsid w:val="009F6412"/>
    <w:rsid w:val="00A0382D"/>
    <w:rsid w:val="00A05791"/>
    <w:rsid w:val="00A05F58"/>
    <w:rsid w:val="00A13AE4"/>
    <w:rsid w:val="00A329EF"/>
    <w:rsid w:val="00A34FD5"/>
    <w:rsid w:val="00A36083"/>
    <w:rsid w:val="00A36A80"/>
    <w:rsid w:val="00A43CD6"/>
    <w:rsid w:val="00A44621"/>
    <w:rsid w:val="00A47C6A"/>
    <w:rsid w:val="00A47CA0"/>
    <w:rsid w:val="00A566FE"/>
    <w:rsid w:val="00A57CC2"/>
    <w:rsid w:val="00A6251D"/>
    <w:rsid w:val="00A654D7"/>
    <w:rsid w:val="00A65971"/>
    <w:rsid w:val="00A66750"/>
    <w:rsid w:val="00A70182"/>
    <w:rsid w:val="00A70BA7"/>
    <w:rsid w:val="00A72A13"/>
    <w:rsid w:val="00A744EC"/>
    <w:rsid w:val="00A7495A"/>
    <w:rsid w:val="00A839F4"/>
    <w:rsid w:val="00A85837"/>
    <w:rsid w:val="00A926CE"/>
    <w:rsid w:val="00A9371D"/>
    <w:rsid w:val="00A97894"/>
    <w:rsid w:val="00A97FDD"/>
    <w:rsid w:val="00AA0FB7"/>
    <w:rsid w:val="00AA5D20"/>
    <w:rsid w:val="00AA75DD"/>
    <w:rsid w:val="00AB37B1"/>
    <w:rsid w:val="00AB4FFD"/>
    <w:rsid w:val="00AC2164"/>
    <w:rsid w:val="00AC2B0C"/>
    <w:rsid w:val="00AC4815"/>
    <w:rsid w:val="00AC6DD0"/>
    <w:rsid w:val="00AD0C4B"/>
    <w:rsid w:val="00AD3A74"/>
    <w:rsid w:val="00AD56DB"/>
    <w:rsid w:val="00AD7A50"/>
    <w:rsid w:val="00AE23D3"/>
    <w:rsid w:val="00AE45E6"/>
    <w:rsid w:val="00AF00AF"/>
    <w:rsid w:val="00AF5E1D"/>
    <w:rsid w:val="00AF7171"/>
    <w:rsid w:val="00AF71D3"/>
    <w:rsid w:val="00B03E66"/>
    <w:rsid w:val="00B10F99"/>
    <w:rsid w:val="00B11E2E"/>
    <w:rsid w:val="00B1396D"/>
    <w:rsid w:val="00B179EC"/>
    <w:rsid w:val="00B17D06"/>
    <w:rsid w:val="00B212CE"/>
    <w:rsid w:val="00B229DE"/>
    <w:rsid w:val="00B24C81"/>
    <w:rsid w:val="00B24EC6"/>
    <w:rsid w:val="00B258AA"/>
    <w:rsid w:val="00B33ABA"/>
    <w:rsid w:val="00B36BB2"/>
    <w:rsid w:val="00B401FB"/>
    <w:rsid w:val="00B430BE"/>
    <w:rsid w:val="00B51E12"/>
    <w:rsid w:val="00B57DCE"/>
    <w:rsid w:val="00B6483D"/>
    <w:rsid w:val="00B65E8C"/>
    <w:rsid w:val="00B74F06"/>
    <w:rsid w:val="00B761E4"/>
    <w:rsid w:val="00B82557"/>
    <w:rsid w:val="00B83B9D"/>
    <w:rsid w:val="00B83BF2"/>
    <w:rsid w:val="00B8540B"/>
    <w:rsid w:val="00B9099F"/>
    <w:rsid w:val="00B94319"/>
    <w:rsid w:val="00B97B3B"/>
    <w:rsid w:val="00BA1DE4"/>
    <w:rsid w:val="00BA2203"/>
    <w:rsid w:val="00BA2D04"/>
    <w:rsid w:val="00BA3E16"/>
    <w:rsid w:val="00BA4F3D"/>
    <w:rsid w:val="00BA5EC8"/>
    <w:rsid w:val="00BB0B2C"/>
    <w:rsid w:val="00BB2EB5"/>
    <w:rsid w:val="00BB3D88"/>
    <w:rsid w:val="00BC2190"/>
    <w:rsid w:val="00BC265C"/>
    <w:rsid w:val="00BC3C07"/>
    <w:rsid w:val="00BD39F4"/>
    <w:rsid w:val="00BD4C82"/>
    <w:rsid w:val="00BE1C07"/>
    <w:rsid w:val="00BE325A"/>
    <w:rsid w:val="00BF3F76"/>
    <w:rsid w:val="00C01693"/>
    <w:rsid w:val="00C0395D"/>
    <w:rsid w:val="00C03A42"/>
    <w:rsid w:val="00C0423C"/>
    <w:rsid w:val="00C10AAC"/>
    <w:rsid w:val="00C12F15"/>
    <w:rsid w:val="00C142B1"/>
    <w:rsid w:val="00C20CA8"/>
    <w:rsid w:val="00C20E26"/>
    <w:rsid w:val="00C22DBE"/>
    <w:rsid w:val="00C276A2"/>
    <w:rsid w:val="00C32B9A"/>
    <w:rsid w:val="00C32E28"/>
    <w:rsid w:val="00C3332E"/>
    <w:rsid w:val="00C334D1"/>
    <w:rsid w:val="00C36BE7"/>
    <w:rsid w:val="00C37A7B"/>
    <w:rsid w:val="00C43064"/>
    <w:rsid w:val="00C46A08"/>
    <w:rsid w:val="00C47D9E"/>
    <w:rsid w:val="00C51797"/>
    <w:rsid w:val="00C541A9"/>
    <w:rsid w:val="00C54674"/>
    <w:rsid w:val="00C54A4A"/>
    <w:rsid w:val="00C55945"/>
    <w:rsid w:val="00C56A9B"/>
    <w:rsid w:val="00C572C4"/>
    <w:rsid w:val="00C65605"/>
    <w:rsid w:val="00C6685D"/>
    <w:rsid w:val="00C70370"/>
    <w:rsid w:val="00C70B40"/>
    <w:rsid w:val="00C72D32"/>
    <w:rsid w:val="00C769E0"/>
    <w:rsid w:val="00C86CA5"/>
    <w:rsid w:val="00CA637D"/>
    <w:rsid w:val="00CA669B"/>
    <w:rsid w:val="00CA6D9C"/>
    <w:rsid w:val="00CA76CA"/>
    <w:rsid w:val="00CB47E0"/>
    <w:rsid w:val="00CB6457"/>
    <w:rsid w:val="00CB6D39"/>
    <w:rsid w:val="00CC0170"/>
    <w:rsid w:val="00CC59C1"/>
    <w:rsid w:val="00CC74DC"/>
    <w:rsid w:val="00CD3A6C"/>
    <w:rsid w:val="00CE6524"/>
    <w:rsid w:val="00CF0493"/>
    <w:rsid w:val="00CF11FD"/>
    <w:rsid w:val="00CF7230"/>
    <w:rsid w:val="00D02D35"/>
    <w:rsid w:val="00D03B46"/>
    <w:rsid w:val="00D23393"/>
    <w:rsid w:val="00D27BCA"/>
    <w:rsid w:val="00D33A0E"/>
    <w:rsid w:val="00D34898"/>
    <w:rsid w:val="00D37BAF"/>
    <w:rsid w:val="00D42439"/>
    <w:rsid w:val="00D4672B"/>
    <w:rsid w:val="00D47B0A"/>
    <w:rsid w:val="00D51763"/>
    <w:rsid w:val="00D534DF"/>
    <w:rsid w:val="00D613CB"/>
    <w:rsid w:val="00D65EB0"/>
    <w:rsid w:val="00D718F8"/>
    <w:rsid w:val="00D71C09"/>
    <w:rsid w:val="00D76FA2"/>
    <w:rsid w:val="00D774B6"/>
    <w:rsid w:val="00D86264"/>
    <w:rsid w:val="00D95BCE"/>
    <w:rsid w:val="00D9794C"/>
    <w:rsid w:val="00DA07E0"/>
    <w:rsid w:val="00DA12F2"/>
    <w:rsid w:val="00DA6502"/>
    <w:rsid w:val="00DB7F92"/>
    <w:rsid w:val="00DC5A57"/>
    <w:rsid w:val="00DD0981"/>
    <w:rsid w:val="00DD0F92"/>
    <w:rsid w:val="00DD5CA9"/>
    <w:rsid w:val="00DD6F21"/>
    <w:rsid w:val="00DD7B6A"/>
    <w:rsid w:val="00DE4790"/>
    <w:rsid w:val="00DE4F3C"/>
    <w:rsid w:val="00DE59DF"/>
    <w:rsid w:val="00DF05CB"/>
    <w:rsid w:val="00DF240E"/>
    <w:rsid w:val="00DF4D29"/>
    <w:rsid w:val="00DF6119"/>
    <w:rsid w:val="00E00EAB"/>
    <w:rsid w:val="00E058B1"/>
    <w:rsid w:val="00E10692"/>
    <w:rsid w:val="00E111B6"/>
    <w:rsid w:val="00E14628"/>
    <w:rsid w:val="00E15028"/>
    <w:rsid w:val="00E15E67"/>
    <w:rsid w:val="00E2010C"/>
    <w:rsid w:val="00E21B5E"/>
    <w:rsid w:val="00E2269A"/>
    <w:rsid w:val="00E255C8"/>
    <w:rsid w:val="00E27D3B"/>
    <w:rsid w:val="00E30E3E"/>
    <w:rsid w:val="00E319A8"/>
    <w:rsid w:val="00E324E3"/>
    <w:rsid w:val="00E35F1F"/>
    <w:rsid w:val="00E40368"/>
    <w:rsid w:val="00E4268B"/>
    <w:rsid w:val="00E42DEF"/>
    <w:rsid w:val="00E438FA"/>
    <w:rsid w:val="00E44E11"/>
    <w:rsid w:val="00E508CB"/>
    <w:rsid w:val="00E535D9"/>
    <w:rsid w:val="00E55115"/>
    <w:rsid w:val="00E562E9"/>
    <w:rsid w:val="00E566A8"/>
    <w:rsid w:val="00E56795"/>
    <w:rsid w:val="00E60742"/>
    <w:rsid w:val="00E71D96"/>
    <w:rsid w:val="00E745B9"/>
    <w:rsid w:val="00E80BDE"/>
    <w:rsid w:val="00E80CF1"/>
    <w:rsid w:val="00E85A59"/>
    <w:rsid w:val="00E95500"/>
    <w:rsid w:val="00EA0EA6"/>
    <w:rsid w:val="00EA3144"/>
    <w:rsid w:val="00EA4545"/>
    <w:rsid w:val="00EA542C"/>
    <w:rsid w:val="00EA6661"/>
    <w:rsid w:val="00EB0D83"/>
    <w:rsid w:val="00EB230A"/>
    <w:rsid w:val="00EC14DD"/>
    <w:rsid w:val="00EC2A11"/>
    <w:rsid w:val="00EC36EF"/>
    <w:rsid w:val="00EC3FCA"/>
    <w:rsid w:val="00ED18CB"/>
    <w:rsid w:val="00EE23CA"/>
    <w:rsid w:val="00EE272E"/>
    <w:rsid w:val="00EE30F0"/>
    <w:rsid w:val="00EE40F7"/>
    <w:rsid w:val="00EE543C"/>
    <w:rsid w:val="00EF0F9F"/>
    <w:rsid w:val="00EF1F54"/>
    <w:rsid w:val="00EF4447"/>
    <w:rsid w:val="00EF51FE"/>
    <w:rsid w:val="00EF645F"/>
    <w:rsid w:val="00F06007"/>
    <w:rsid w:val="00F067EF"/>
    <w:rsid w:val="00F06B21"/>
    <w:rsid w:val="00F10463"/>
    <w:rsid w:val="00F237C2"/>
    <w:rsid w:val="00F343E9"/>
    <w:rsid w:val="00F344D5"/>
    <w:rsid w:val="00F413A2"/>
    <w:rsid w:val="00F5220F"/>
    <w:rsid w:val="00F525B8"/>
    <w:rsid w:val="00F554AA"/>
    <w:rsid w:val="00F57D5F"/>
    <w:rsid w:val="00F64422"/>
    <w:rsid w:val="00F74A4C"/>
    <w:rsid w:val="00F766D0"/>
    <w:rsid w:val="00F77DD0"/>
    <w:rsid w:val="00F832D1"/>
    <w:rsid w:val="00F84B99"/>
    <w:rsid w:val="00F8609F"/>
    <w:rsid w:val="00FA240A"/>
    <w:rsid w:val="00FA47DA"/>
    <w:rsid w:val="00FA4824"/>
    <w:rsid w:val="00FA4922"/>
    <w:rsid w:val="00FA4C6D"/>
    <w:rsid w:val="00FB1D70"/>
    <w:rsid w:val="00FB2024"/>
    <w:rsid w:val="00FC3737"/>
    <w:rsid w:val="00FC413F"/>
    <w:rsid w:val="00FD082E"/>
    <w:rsid w:val="00FD0FB5"/>
    <w:rsid w:val="00FD1869"/>
    <w:rsid w:val="00FD52EC"/>
    <w:rsid w:val="00FD53F7"/>
    <w:rsid w:val="00FE090E"/>
    <w:rsid w:val="00FE1BB9"/>
    <w:rsid w:val="00FE3B2D"/>
    <w:rsid w:val="00FE5384"/>
    <w:rsid w:val="00FF4F90"/>
    <w:rsid w:val="00FF5ED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A7D3BEAC-D7B2-4912-9FFA-D035CF64B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before="100" w:after="4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62AF"/>
    <w:rPr>
      <w:rFonts w:ascii="Arial" w:eastAsia="Arial" w:hAnsi="Arial" w:cs="Arial"/>
      <w:color w:val="000000"/>
      <w:lang w:eastAsia="es-CO"/>
    </w:rPr>
  </w:style>
  <w:style w:type="paragraph" w:styleId="Ttulo1">
    <w:name w:val="heading 1"/>
    <w:basedOn w:val="Normal"/>
    <w:next w:val="Normal"/>
    <w:link w:val="Ttulo1Car"/>
    <w:qFormat/>
    <w:rsid w:val="003A5822"/>
    <w:pPr>
      <w:keepNext/>
      <w:overflowPunct w:val="0"/>
      <w:autoSpaceDE w:val="0"/>
      <w:autoSpaceDN w:val="0"/>
      <w:adjustRightInd w:val="0"/>
      <w:spacing w:before="240" w:after="60"/>
      <w:textAlignment w:val="baseline"/>
      <w:outlineLvl w:val="0"/>
    </w:pPr>
    <w:rPr>
      <w:rFonts w:ascii="Cambria" w:eastAsia="Times New Roman" w:hAnsi="Cambria" w:cs="Times New Roman"/>
      <w:b/>
      <w:bCs/>
      <w:color w:val="auto"/>
      <w:kern w:val="32"/>
      <w:sz w:val="32"/>
      <w:szCs w:val="32"/>
      <w:lang w:val="es-ES" w:eastAsia="es-ES"/>
    </w:rPr>
  </w:style>
  <w:style w:type="paragraph" w:styleId="Ttulo2">
    <w:name w:val="heading 2"/>
    <w:basedOn w:val="Normal"/>
    <w:link w:val="Ttulo2Car"/>
    <w:qFormat/>
    <w:rsid w:val="003A5822"/>
    <w:pPr>
      <w:overflowPunct w:val="0"/>
      <w:autoSpaceDE w:val="0"/>
      <w:autoSpaceDN w:val="0"/>
      <w:adjustRightInd w:val="0"/>
      <w:spacing w:after="100"/>
      <w:textAlignment w:val="baseline"/>
      <w:outlineLvl w:val="1"/>
    </w:pPr>
    <w:rPr>
      <w:rFonts w:ascii="Times New Roman" w:eastAsia="Times New Roman" w:hAnsi="Times New Roman" w:cs="Times New Roman"/>
      <w:b/>
      <w:color w:val="auto"/>
      <w:sz w:val="36"/>
      <w:szCs w:val="20"/>
      <w:lang w:val="es-ES" w:eastAsia="es-ES"/>
    </w:rPr>
  </w:style>
  <w:style w:type="paragraph" w:styleId="Ttulo3">
    <w:name w:val="heading 3"/>
    <w:basedOn w:val="Normal"/>
    <w:link w:val="Ttulo3Car"/>
    <w:qFormat/>
    <w:rsid w:val="003A5822"/>
    <w:pPr>
      <w:overflowPunct w:val="0"/>
      <w:autoSpaceDE w:val="0"/>
      <w:autoSpaceDN w:val="0"/>
      <w:adjustRightInd w:val="0"/>
      <w:spacing w:after="100"/>
      <w:textAlignment w:val="baseline"/>
      <w:outlineLvl w:val="2"/>
    </w:pPr>
    <w:rPr>
      <w:rFonts w:ascii="Times New Roman" w:eastAsia="Times New Roman" w:hAnsi="Times New Roman" w:cs="Times New Roman"/>
      <w:b/>
      <w:color w:val="auto"/>
      <w:sz w:val="27"/>
      <w:szCs w:val="20"/>
      <w:lang w:val="es-ES" w:eastAsia="es-ES"/>
    </w:rPr>
  </w:style>
  <w:style w:type="paragraph" w:styleId="Ttulo4">
    <w:name w:val="heading 4"/>
    <w:basedOn w:val="Normal"/>
    <w:next w:val="Normal"/>
    <w:link w:val="Ttulo4Car"/>
    <w:qFormat/>
    <w:rsid w:val="00524E1D"/>
    <w:pPr>
      <w:keepNext/>
      <w:overflowPunct w:val="0"/>
      <w:autoSpaceDE w:val="0"/>
      <w:autoSpaceDN w:val="0"/>
      <w:adjustRightInd w:val="0"/>
      <w:spacing w:before="240" w:after="60"/>
      <w:textAlignment w:val="baseline"/>
      <w:outlineLvl w:val="3"/>
    </w:pPr>
    <w:rPr>
      <w:rFonts w:ascii="Times New Roman" w:eastAsia="Times New Roman" w:hAnsi="Times New Roman" w:cs="Times New Roman"/>
      <w:b/>
      <w:color w:val="auto"/>
      <w:sz w:val="28"/>
      <w:szCs w:val="20"/>
      <w:lang w:val="es-ES" w:eastAsia="es-ES"/>
    </w:rPr>
  </w:style>
  <w:style w:type="paragraph" w:styleId="Ttulo5">
    <w:name w:val="heading 5"/>
    <w:basedOn w:val="Normal"/>
    <w:next w:val="Normal"/>
    <w:link w:val="Ttulo5Car"/>
    <w:unhideWhenUsed/>
    <w:qFormat/>
    <w:rsid w:val="003A5822"/>
    <w:pPr>
      <w:overflowPunct w:val="0"/>
      <w:autoSpaceDE w:val="0"/>
      <w:autoSpaceDN w:val="0"/>
      <w:adjustRightInd w:val="0"/>
      <w:spacing w:before="240" w:after="60"/>
      <w:textAlignment w:val="baseline"/>
      <w:outlineLvl w:val="4"/>
    </w:pPr>
    <w:rPr>
      <w:rFonts w:ascii="Calibri" w:eastAsia="Times New Roman" w:hAnsi="Calibri" w:cs="Times New Roman"/>
      <w:b/>
      <w:bCs/>
      <w:i/>
      <w:iCs/>
      <w:color w:val="auto"/>
      <w:sz w:val="26"/>
      <w:szCs w:val="26"/>
      <w:lang w:val="es-ES" w:eastAsia="es-ES"/>
    </w:rPr>
  </w:style>
  <w:style w:type="paragraph" w:styleId="Ttulo6">
    <w:name w:val="heading 6"/>
    <w:basedOn w:val="Normal"/>
    <w:next w:val="Normal"/>
    <w:link w:val="Ttulo6Car"/>
    <w:unhideWhenUsed/>
    <w:qFormat/>
    <w:rsid w:val="003A5822"/>
    <w:pPr>
      <w:overflowPunct w:val="0"/>
      <w:autoSpaceDE w:val="0"/>
      <w:autoSpaceDN w:val="0"/>
      <w:adjustRightInd w:val="0"/>
      <w:spacing w:before="240" w:after="60"/>
      <w:textAlignment w:val="baseline"/>
      <w:outlineLvl w:val="5"/>
    </w:pPr>
    <w:rPr>
      <w:rFonts w:ascii="Calibri" w:eastAsia="Times New Roman" w:hAnsi="Calibri" w:cs="Times New Roman"/>
      <w:b/>
      <w:bCs/>
      <w:color w:val="auto"/>
      <w:lang w:val="es-ES" w:eastAsia="es-ES"/>
    </w:rPr>
  </w:style>
  <w:style w:type="paragraph" w:styleId="Ttulo8">
    <w:name w:val="heading 8"/>
    <w:basedOn w:val="Normal"/>
    <w:next w:val="Normal"/>
    <w:link w:val="Ttulo8Car"/>
    <w:qFormat/>
    <w:rsid w:val="00524E1D"/>
    <w:pPr>
      <w:overflowPunct w:val="0"/>
      <w:autoSpaceDE w:val="0"/>
      <w:autoSpaceDN w:val="0"/>
      <w:adjustRightInd w:val="0"/>
      <w:spacing w:before="240" w:after="60"/>
      <w:textAlignment w:val="baseline"/>
      <w:outlineLvl w:val="7"/>
    </w:pPr>
    <w:rPr>
      <w:rFonts w:ascii="Times New Roman" w:eastAsia="Times New Roman" w:hAnsi="Times New Roman" w:cs="Times New Roman"/>
      <w:i/>
      <w:color w:val="auto"/>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nhideWhenUsed/>
    <w:rsid w:val="00650A99"/>
    <w:rPr>
      <w:rFonts w:ascii="Tahoma" w:hAnsi="Tahoma" w:cs="Tahoma"/>
      <w:sz w:val="16"/>
      <w:szCs w:val="16"/>
    </w:rPr>
  </w:style>
  <w:style w:type="character" w:customStyle="1" w:styleId="TextodegloboCar">
    <w:name w:val="Texto de globo Car"/>
    <w:basedOn w:val="Fuentedeprrafopredeter"/>
    <w:link w:val="Textodeglobo"/>
    <w:rsid w:val="00650A99"/>
    <w:rPr>
      <w:rFonts w:ascii="Tahoma" w:hAnsi="Tahoma" w:cs="Tahoma"/>
      <w:sz w:val="16"/>
      <w:szCs w:val="16"/>
    </w:rPr>
  </w:style>
  <w:style w:type="paragraph" w:styleId="Encabezado">
    <w:name w:val="header"/>
    <w:basedOn w:val="Normal"/>
    <w:link w:val="EncabezadoCar"/>
    <w:unhideWhenUsed/>
    <w:rsid w:val="00650A99"/>
    <w:pPr>
      <w:tabs>
        <w:tab w:val="center" w:pos="4419"/>
        <w:tab w:val="right" w:pos="8838"/>
      </w:tabs>
    </w:pPr>
  </w:style>
  <w:style w:type="character" w:customStyle="1" w:styleId="EncabezadoCar">
    <w:name w:val="Encabezado Car"/>
    <w:basedOn w:val="Fuentedeprrafopredeter"/>
    <w:link w:val="Encabezado"/>
    <w:rsid w:val="00650A99"/>
  </w:style>
  <w:style w:type="paragraph" w:styleId="Piedepgina">
    <w:name w:val="footer"/>
    <w:basedOn w:val="Normal"/>
    <w:link w:val="PiedepginaCar"/>
    <w:unhideWhenUsed/>
    <w:rsid w:val="00650A99"/>
    <w:pPr>
      <w:tabs>
        <w:tab w:val="center" w:pos="4419"/>
        <w:tab w:val="right" w:pos="8838"/>
      </w:tabs>
    </w:pPr>
  </w:style>
  <w:style w:type="character" w:customStyle="1" w:styleId="PiedepginaCar">
    <w:name w:val="Pie de página Car"/>
    <w:basedOn w:val="Fuentedeprrafopredeter"/>
    <w:link w:val="Piedepgina"/>
    <w:rsid w:val="00650A99"/>
  </w:style>
  <w:style w:type="character" w:styleId="Hipervnculo">
    <w:name w:val="Hyperlink"/>
    <w:basedOn w:val="Fuentedeprrafopredeter"/>
    <w:uiPriority w:val="99"/>
    <w:unhideWhenUsed/>
    <w:rsid w:val="00650A99"/>
    <w:rPr>
      <w:color w:val="0000FF" w:themeColor="hyperlink"/>
      <w:u w:val="single"/>
    </w:rPr>
  </w:style>
  <w:style w:type="paragraph" w:styleId="NormalWeb">
    <w:name w:val="Normal (Web)"/>
    <w:basedOn w:val="Normal"/>
    <w:unhideWhenUsed/>
    <w:rsid w:val="00670D69"/>
    <w:pPr>
      <w:spacing w:beforeAutospacing="1" w:after="100" w:afterAutospacing="1"/>
    </w:pPr>
    <w:rPr>
      <w:rFonts w:ascii="Times New Roman" w:eastAsia="Times New Roman" w:hAnsi="Times New Roman" w:cs="Times New Roman"/>
      <w:sz w:val="24"/>
      <w:szCs w:val="24"/>
    </w:rPr>
  </w:style>
  <w:style w:type="table" w:styleId="Tablaconcuadrcula">
    <w:name w:val="Table Grid"/>
    <w:basedOn w:val="Tablanormal"/>
    <w:rsid w:val="00AE45E6"/>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oindependienteCar">
    <w:name w:val="Texto independiente Car"/>
    <w:aliases w:val="body text Car,bt Car,contents Car,body tesx Car1,body tesx Car Car"/>
    <w:basedOn w:val="Fuentedeprrafopredeter"/>
    <w:link w:val="Textoindependiente"/>
    <w:locked/>
    <w:rsid w:val="006A5FCB"/>
    <w:rPr>
      <w:rFonts w:ascii="Tahoma" w:hAnsi="Tahoma" w:cs="Tahoma"/>
      <w:sz w:val="24"/>
      <w:szCs w:val="24"/>
      <w:lang w:val="es-ES" w:eastAsia="es-ES"/>
    </w:rPr>
  </w:style>
  <w:style w:type="paragraph" w:styleId="Textoindependiente">
    <w:name w:val="Body Text"/>
    <w:aliases w:val="body text,bt,contents,body tesx,body tesx Car"/>
    <w:basedOn w:val="Normal"/>
    <w:link w:val="TextoindependienteCar"/>
    <w:unhideWhenUsed/>
    <w:rsid w:val="006A5FCB"/>
    <w:pPr>
      <w:jc w:val="both"/>
    </w:pPr>
    <w:rPr>
      <w:rFonts w:ascii="Tahoma" w:hAnsi="Tahoma" w:cs="Tahoma"/>
      <w:sz w:val="24"/>
      <w:szCs w:val="24"/>
      <w:lang w:val="es-ES" w:eastAsia="es-ES"/>
    </w:rPr>
  </w:style>
  <w:style w:type="character" w:customStyle="1" w:styleId="TextoindependienteCar1">
    <w:name w:val="Texto independiente Car1"/>
    <w:basedOn w:val="Fuentedeprrafopredeter"/>
    <w:uiPriority w:val="99"/>
    <w:semiHidden/>
    <w:rsid w:val="006A5FCB"/>
  </w:style>
  <w:style w:type="paragraph" w:styleId="Prrafodelista">
    <w:name w:val="List Paragraph"/>
    <w:basedOn w:val="Normal"/>
    <w:uiPriority w:val="34"/>
    <w:qFormat/>
    <w:rsid w:val="006A5FCB"/>
    <w:pPr>
      <w:ind w:left="720"/>
      <w:contextualSpacing/>
    </w:pPr>
  </w:style>
  <w:style w:type="paragraph" w:styleId="Sinespaciado">
    <w:name w:val="No Spacing"/>
    <w:uiPriority w:val="1"/>
    <w:qFormat/>
    <w:rsid w:val="005E5E78"/>
    <w:pPr>
      <w:spacing w:after="0"/>
    </w:pPr>
    <w:rPr>
      <w:rFonts w:ascii="Arial" w:eastAsia="Arial" w:hAnsi="Arial" w:cs="Arial"/>
      <w:color w:val="000000"/>
      <w:lang w:eastAsia="es-CO"/>
    </w:rPr>
  </w:style>
  <w:style w:type="paragraph" w:styleId="Textoindependiente2">
    <w:name w:val="Body Text 2"/>
    <w:basedOn w:val="Normal"/>
    <w:link w:val="Textoindependiente2Car"/>
    <w:uiPriority w:val="99"/>
    <w:semiHidden/>
    <w:unhideWhenUsed/>
    <w:rsid w:val="003A5822"/>
    <w:pPr>
      <w:spacing w:after="120" w:line="480" w:lineRule="auto"/>
    </w:pPr>
  </w:style>
  <w:style w:type="character" w:customStyle="1" w:styleId="Textoindependiente2Car">
    <w:name w:val="Texto independiente 2 Car"/>
    <w:basedOn w:val="Fuentedeprrafopredeter"/>
    <w:link w:val="Textoindependiente2"/>
    <w:uiPriority w:val="99"/>
    <w:semiHidden/>
    <w:rsid w:val="003A5822"/>
    <w:rPr>
      <w:rFonts w:ascii="Arial" w:eastAsia="Arial" w:hAnsi="Arial" w:cs="Arial"/>
      <w:color w:val="000000"/>
      <w:lang w:eastAsia="es-CO"/>
    </w:rPr>
  </w:style>
  <w:style w:type="paragraph" w:styleId="Textoindependiente3">
    <w:name w:val="Body Text 3"/>
    <w:basedOn w:val="Normal"/>
    <w:link w:val="Textoindependiente3Car"/>
    <w:uiPriority w:val="99"/>
    <w:semiHidden/>
    <w:unhideWhenUsed/>
    <w:rsid w:val="003A5822"/>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3A5822"/>
    <w:rPr>
      <w:rFonts w:ascii="Arial" w:eastAsia="Arial" w:hAnsi="Arial" w:cs="Arial"/>
      <w:color w:val="000000"/>
      <w:sz w:val="16"/>
      <w:szCs w:val="16"/>
      <w:lang w:eastAsia="es-CO"/>
    </w:rPr>
  </w:style>
  <w:style w:type="character" w:customStyle="1" w:styleId="Ttulo1Car">
    <w:name w:val="Título 1 Car"/>
    <w:basedOn w:val="Fuentedeprrafopredeter"/>
    <w:link w:val="Ttulo1"/>
    <w:rsid w:val="003A5822"/>
    <w:rPr>
      <w:rFonts w:ascii="Cambria" w:eastAsia="Times New Roman" w:hAnsi="Cambria" w:cs="Times New Roman"/>
      <w:b/>
      <w:bCs/>
      <w:kern w:val="32"/>
      <w:sz w:val="32"/>
      <w:szCs w:val="32"/>
      <w:lang w:val="es-ES" w:eastAsia="es-ES"/>
    </w:rPr>
  </w:style>
  <w:style w:type="character" w:customStyle="1" w:styleId="Ttulo2Car">
    <w:name w:val="Título 2 Car"/>
    <w:basedOn w:val="Fuentedeprrafopredeter"/>
    <w:link w:val="Ttulo2"/>
    <w:rsid w:val="003A5822"/>
    <w:rPr>
      <w:rFonts w:ascii="Times New Roman" w:eastAsia="Times New Roman" w:hAnsi="Times New Roman" w:cs="Times New Roman"/>
      <w:b/>
      <w:sz w:val="36"/>
      <w:szCs w:val="20"/>
      <w:lang w:val="es-ES" w:eastAsia="es-ES"/>
    </w:rPr>
  </w:style>
  <w:style w:type="character" w:customStyle="1" w:styleId="Ttulo3Car">
    <w:name w:val="Título 3 Car"/>
    <w:basedOn w:val="Fuentedeprrafopredeter"/>
    <w:link w:val="Ttulo3"/>
    <w:rsid w:val="003A5822"/>
    <w:rPr>
      <w:rFonts w:ascii="Times New Roman" w:eastAsia="Times New Roman" w:hAnsi="Times New Roman" w:cs="Times New Roman"/>
      <w:b/>
      <w:sz w:val="27"/>
      <w:szCs w:val="20"/>
      <w:lang w:val="es-ES" w:eastAsia="es-ES"/>
    </w:rPr>
  </w:style>
  <w:style w:type="character" w:customStyle="1" w:styleId="Ttulo5Car">
    <w:name w:val="Título 5 Car"/>
    <w:basedOn w:val="Fuentedeprrafopredeter"/>
    <w:link w:val="Ttulo5"/>
    <w:rsid w:val="003A5822"/>
    <w:rPr>
      <w:rFonts w:ascii="Calibri" w:eastAsia="Times New Roman" w:hAnsi="Calibri" w:cs="Times New Roman"/>
      <w:b/>
      <w:bCs/>
      <w:i/>
      <w:iCs/>
      <w:sz w:val="26"/>
      <w:szCs w:val="26"/>
      <w:lang w:val="es-ES" w:eastAsia="es-ES"/>
    </w:rPr>
  </w:style>
  <w:style w:type="character" w:customStyle="1" w:styleId="Ttulo6Car">
    <w:name w:val="Título 6 Car"/>
    <w:basedOn w:val="Fuentedeprrafopredeter"/>
    <w:link w:val="Ttulo6"/>
    <w:rsid w:val="003A5822"/>
    <w:rPr>
      <w:rFonts w:ascii="Calibri" w:eastAsia="Times New Roman" w:hAnsi="Calibri" w:cs="Times New Roman"/>
      <w:b/>
      <w:bCs/>
      <w:lang w:val="es-ES" w:eastAsia="es-ES"/>
    </w:rPr>
  </w:style>
  <w:style w:type="paragraph" w:styleId="Puesto">
    <w:name w:val="Title"/>
    <w:basedOn w:val="Normal"/>
    <w:link w:val="PuestoCar"/>
    <w:qFormat/>
    <w:rsid w:val="003A5822"/>
    <w:pPr>
      <w:jc w:val="center"/>
    </w:pPr>
    <w:rPr>
      <w:rFonts w:ascii="Times New Roman" w:eastAsia="Times New Roman" w:hAnsi="Times New Roman" w:cs="Times New Roman"/>
      <w:b/>
      <w:color w:val="auto"/>
      <w:sz w:val="24"/>
      <w:szCs w:val="20"/>
      <w:lang w:val="es-ES_tradnl" w:eastAsia="es-ES"/>
    </w:rPr>
  </w:style>
  <w:style w:type="character" w:customStyle="1" w:styleId="PuestoCar">
    <w:name w:val="Puesto Car"/>
    <w:basedOn w:val="Fuentedeprrafopredeter"/>
    <w:link w:val="Puesto"/>
    <w:rsid w:val="003A5822"/>
    <w:rPr>
      <w:rFonts w:ascii="Times New Roman" w:eastAsia="Times New Roman" w:hAnsi="Times New Roman" w:cs="Times New Roman"/>
      <w:b/>
      <w:sz w:val="24"/>
      <w:szCs w:val="20"/>
      <w:lang w:val="es-ES_tradnl" w:eastAsia="es-ES"/>
    </w:rPr>
  </w:style>
  <w:style w:type="paragraph" w:customStyle="1" w:styleId="Textosinformato1">
    <w:name w:val="Texto sin formato1"/>
    <w:basedOn w:val="Normal"/>
    <w:rsid w:val="003A5822"/>
    <w:rPr>
      <w:rFonts w:ascii="Courier New" w:eastAsia="Times New Roman" w:hAnsi="Courier New" w:cs="Times New Roman"/>
      <w:color w:val="auto"/>
      <w:sz w:val="20"/>
      <w:szCs w:val="24"/>
      <w:lang w:eastAsia="es-ES"/>
    </w:rPr>
  </w:style>
  <w:style w:type="paragraph" w:customStyle="1" w:styleId="xl53">
    <w:name w:val="xl53"/>
    <w:basedOn w:val="Normal"/>
    <w:rsid w:val="003A5822"/>
    <w:pPr>
      <w:spacing w:beforeAutospacing="1" w:after="100" w:afterAutospacing="1"/>
      <w:jc w:val="center"/>
    </w:pPr>
    <w:rPr>
      <w:rFonts w:eastAsia="Times New Roman"/>
      <w:b/>
      <w:bCs/>
      <w:color w:val="auto"/>
      <w:sz w:val="24"/>
      <w:szCs w:val="24"/>
      <w:lang w:val="es-ES" w:eastAsia="es-ES"/>
    </w:rPr>
  </w:style>
  <w:style w:type="table" w:styleId="Cuadrculaclara-nfasis6">
    <w:name w:val="Light Grid Accent 6"/>
    <w:basedOn w:val="Tablanormal"/>
    <w:uiPriority w:val="62"/>
    <w:rsid w:val="0007281C"/>
    <w:pPr>
      <w:spacing w:before="0" w:after="0"/>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customStyle="1" w:styleId="Default">
    <w:name w:val="Default"/>
    <w:rsid w:val="00697D59"/>
    <w:pPr>
      <w:autoSpaceDE w:val="0"/>
      <w:autoSpaceDN w:val="0"/>
      <w:adjustRightInd w:val="0"/>
      <w:spacing w:before="0" w:after="0"/>
    </w:pPr>
    <w:rPr>
      <w:rFonts w:ascii="Trebuchet MS" w:hAnsi="Trebuchet MS" w:cs="Trebuchet MS"/>
      <w:color w:val="000000"/>
      <w:sz w:val="24"/>
      <w:szCs w:val="24"/>
    </w:rPr>
  </w:style>
  <w:style w:type="character" w:customStyle="1" w:styleId="Ttulo4Car">
    <w:name w:val="Título 4 Car"/>
    <w:basedOn w:val="Fuentedeprrafopredeter"/>
    <w:link w:val="Ttulo4"/>
    <w:rsid w:val="00524E1D"/>
    <w:rPr>
      <w:rFonts w:ascii="Times New Roman" w:eastAsia="Times New Roman" w:hAnsi="Times New Roman" w:cs="Times New Roman"/>
      <w:b/>
      <w:sz w:val="28"/>
      <w:szCs w:val="20"/>
      <w:lang w:val="es-ES" w:eastAsia="es-ES"/>
    </w:rPr>
  </w:style>
  <w:style w:type="character" w:customStyle="1" w:styleId="Ttulo8Car">
    <w:name w:val="Título 8 Car"/>
    <w:basedOn w:val="Fuentedeprrafopredeter"/>
    <w:link w:val="Ttulo8"/>
    <w:rsid w:val="00524E1D"/>
    <w:rPr>
      <w:rFonts w:ascii="Times New Roman" w:eastAsia="Times New Roman" w:hAnsi="Times New Roman" w:cs="Times New Roman"/>
      <w:i/>
      <w:sz w:val="24"/>
      <w:szCs w:val="20"/>
      <w:lang w:val="es-ES" w:eastAsia="es-ES"/>
    </w:rPr>
  </w:style>
  <w:style w:type="paragraph" w:styleId="Sangradetextonormal">
    <w:name w:val="Body Text Indent"/>
    <w:basedOn w:val="Normal"/>
    <w:link w:val="SangradetextonormalCar"/>
    <w:unhideWhenUsed/>
    <w:rsid w:val="00524E1D"/>
    <w:pPr>
      <w:overflowPunct w:val="0"/>
      <w:autoSpaceDE w:val="0"/>
      <w:autoSpaceDN w:val="0"/>
      <w:adjustRightInd w:val="0"/>
      <w:spacing w:before="0" w:after="120"/>
      <w:ind w:left="360"/>
      <w:textAlignment w:val="baseline"/>
    </w:pPr>
    <w:rPr>
      <w:rFonts w:eastAsia="Times New Roman" w:cs="Times New Roman"/>
      <w:color w:val="auto"/>
      <w:sz w:val="24"/>
      <w:szCs w:val="20"/>
      <w:lang w:eastAsia="es-ES"/>
    </w:rPr>
  </w:style>
  <w:style w:type="character" w:customStyle="1" w:styleId="SangradetextonormalCar">
    <w:name w:val="Sangría de texto normal Car"/>
    <w:basedOn w:val="Fuentedeprrafopredeter"/>
    <w:link w:val="Sangradetextonormal"/>
    <w:rsid w:val="00524E1D"/>
    <w:rPr>
      <w:rFonts w:ascii="Arial" w:eastAsia="Times New Roman" w:hAnsi="Arial" w:cs="Times New Roman"/>
      <w:sz w:val="24"/>
      <w:szCs w:val="20"/>
      <w:lang w:eastAsia="es-ES"/>
    </w:rPr>
  </w:style>
  <w:style w:type="character" w:customStyle="1" w:styleId="Hipervnculo1">
    <w:name w:val="Hipervínculo1"/>
    <w:rsid w:val="00524E1D"/>
    <w:rPr>
      <w:color w:val="0000FF"/>
      <w:u w:val="none"/>
    </w:rPr>
  </w:style>
  <w:style w:type="character" w:customStyle="1" w:styleId="mw-headline">
    <w:name w:val="mw-headline"/>
    <w:basedOn w:val="Fuentedeprrafopredeter"/>
    <w:rsid w:val="00524E1D"/>
  </w:style>
  <w:style w:type="character" w:customStyle="1" w:styleId="editsection">
    <w:name w:val="editsection"/>
    <w:basedOn w:val="Fuentedeprrafopredeter"/>
    <w:rsid w:val="00524E1D"/>
  </w:style>
  <w:style w:type="paragraph" w:customStyle="1" w:styleId="Textoindependiente21">
    <w:name w:val="Texto independiente 21"/>
    <w:basedOn w:val="Normal"/>
    <w:rsid w:val="00524E1D"/>
    <w:pPr>
      <w:overflowPunct w:val="0"/>
      <w:autoSpaceDE w:val="0"/>
      <w:autoSpaceDN w:val="0"/>
      <w:adjustRightInd w:val="0"/>
      <w:spacing w:before="0" w:after="0"/>
      <w:jc w:val="both"/>
      <w:textAlignment w:val="baseline"/>
    </w:pPr>
    <w:rPr>
      <w:rFonts w:eastAsia="Times New Roman" w:cs="Times New Roman"/>
      <w:color w:val="auto"/>
      <w:sz w:val="24"/>
      <w:szCs w:val="20"/>
      <w:lang w:eastAsia="es-ES"/>
    </w:rPr>
  </w:style>
  <w:style w:type="paragraph" w:customStyle="1" w:styleId="Textoindependiente31">
    <w:name w:val="Texto independiente 31"/>
    <w:basedOn w:val="Normal"/>
    <w:rsid w:val="00524E1D"/>
    <w:pPr>
      <w:overflowPunct w:val="0"/>
      <w:autoSpaceDE w:val="0"/>
      <w:autoSpaceDN w:val="0"/>
      <w:adjustRightInd w:val="0"/>
      <w:spacing w:before="0" w:after="0"/>
      <w:jc w:val="both"/>
      <w:textAlignment w:val="baseline"/>
    </w:pPr>
    <w:rPr>
      <w:rFonts w:eastAsia="Times New Roman" w:cs="Times New Roman"/>
      <w:b/>
      <w:color w:val="auto"/>
      <w:sz w:val="24"/>
      <w:szCs w:val="20"/>
      <w:lang w:val="es-ES" w:eastAsia="es-ES"/>
    </w:rPr>
  </w:style>
  <w:style w:type="table" w:styleId="Listaclara-nfasis1">
    <w:name w:val="Light List Accent 1"/>
    <w:basedOn w:val="Tablanormal"/>
    <w:uiPriority w:val="61"/>
    <w:rsid w:val="00524E1D"/>
    <w:pPr>
      <w:spacing w:before="0" w:after="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Cuadrculaclara-nfasis2">
    <w:name w:val="Light Grid Accent 2"/>
    <w:basedOn w:val="Tablanormal"/>
    <w:uiPriority w:val="62"/>
    <w:rsid w:val="00E566A8"/>
    <w:pPr>
      <w:spacing w:before="0" w:after="0"/>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customStyle="1" w:styleId="apple-converted-space">
    <w:name w:val="apple-converted-space"/>
    <w:basedOn w:val="Fuentedeprrafopredeter"/>
    <w:rsid w:val="005F5D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875691">
      <w:bodyDiv w:val="1"/>
      <w:marLeft w:val="0"/>
      <w:marRight w:val="0"/>
      <w:marTop w:val="0"/>
      <w:marBottom w:val="0"/>
      <w:divBdr>
        <w:top w:val="none" w:sz="0" w:space="0" w:color="auto"/>
        <w:left w:val="none" w:sz="0" w:space="0" w:color="auto"/>
        <w:bottom w:val="none" w:sz="0" w:space="0" w:color="auto"/>
        <w:right w:val="none" w:sz="0" w:space="0" w:color="auto"/>
      </w:divBdr>
    </w:div>
    <w:div w:id="117341432">
      <w:bodyDiv w:val="1"/>
      <w:marLeft w:val="0"/>
      <w:marRight w:val="0"/>
      <w:marTop w:val="0"/>
      <w:marBottom w:val="0"/>
      <w:divBdr>
        <w:top w:val="none" w:sz="0" w:space="0" w:color="auto"/>
        <w:left w:val="none" w:sz="0" w:space="0" w:color="auto"/>
        <w:bottom w:val="none" w:sz="0" w:space="0" w:color="auto"/>
        <w:right w:val="none" w:sz="0" w:space="0" w:color="auto"/>
      </w:divBdr>
    </w:div>
    <w:div w:id="121193642">
      <w:bodyDiv w:val="1"/>
      <w:marLeft w:val="0"/>
      <w:marRight w:val="0"/>
      <w:marTop w:val="0"/>
      <w:marBottom w:val="0"/>
      <w:divBdr>
        <w:top w:val="none" w:sz="0" w:space="0" w:color="auto"/>
        <w:left w:val="none" w:sz="0" w:space="0" w:color="auto"/>
        <w:bottom w:val="none" w:sz="0" w:space="0" w:color="auto"/>
        <w:right w:val="none" w:sz="0" w:space="0" w:color="auto"/>
      </w:divBdr>
    </w:div>
    <w:div w:id="338195746">
      <w:bodyDiv w:val="1"/>
      <w:marLeft w:val="0"/>
      <w:marRight w:val="0"/>
      <w:marTop w:val="0"/>
      <w:marBottom w:val="0"/>
      <w:divBdr>
        <w:top w:val="none" w:sz="0" w:space="0" w:color="auto"/>
        <w:left w:val="none" w:sz="0" w:space="0" w:color="auto"/>
        <w:bottom w:val="none" w:sz="0" w:space="0" w:color="auto"/>
        <w:right w:val="none" w:sz="0" w:space="0" w:color="auto"/>
      </w:divBdr>
    </w:div>
    <w:div w:id="399670160">
      <w:bodyDiv w:val="1"/>
      <w:marLeft w:val="0"/>
      <w:marRight w:val="0"/>
      <w:marTop w:val="0"/>
      <w:marBottom w:val="0"/>
      <w:divBdr>
        <w:top w:val="none" w:sz="0" w:space="0" w:color="auto"/>
        <w:left w:val="none" w:sz="0" w:space="0" w:color="auto"/>
        <w:bottom w:val="none" w:sz="0" w:space="0" w:color="auto"/>
        <w:right w:val="none" w:sz="0" w:space="0" w:color="auto"/>
      </w:divBdr>
    </w:div>
    <w:div w:id="434784909">
      <w:bodyDiv w:val="1"/>
      <w:marLeft w:val="0"/>
      <w:marRight w:val="0"/>
      <w:marTop w:val="0"/>
      <w:marBottom w:val="0"/>
      <w:divBdr>
        <w:top w:val="none" w:sz="0" w:space="0" w:color="auto"/>
        <w:left w:val="none" w:sz="0" w:space="0" w:color="auto"/>
        <w:bottom w:val="none" w:sz="0" w:space="0" w:color="auto"/>
        <w:right w:val="none" w:sz="0" w:space="0" w:color="auto"/>
      </w:divBdr>
    </w:div>
    <w:div w:id="639925935">
      <w:bodyDiv w:val="1"/>
      <w:marLeft w:val="0"/>
      <w:marRight w:val="0"/>
      <w:marTop w:val="0"/>
      <w:marBottom w:val="0"/>
      <w:divBdr>
        <w:top w:val="none" w:sz="0" w:space="0" w:color="auto"/>
        <w:left w:val="none" w:sz="0" w:space="0" w:color="auto"/>
        <w:bottom w:val="none" w:sz="0" w:space="0" w:color="auto"/>
        <w:right w:val="none" w:sz="0" w:space="0" w:color="auto"/>
      </w:divBdr>
    </w:div>
    <w:div w:id="678118413">
      <w:bodyDiv w:val="1"/>
      <w:marLeft w:val="0"/>
      <w:marRight w:val="0"/>
      <w:marTop w:val="0"/>
      <w:marBottom w:val="0"/>
      <w:divBdr>
        <w:top w:val="none" w:sz="0" w:space="0" w:color="auto"/>
        <w:left w:val="none" w:sz="0" w:space="0" w:color="auto"/>
        <w:bottom w:val="none" w:sz="0" w:space="0" w:color="auto"/>
        <w:right w:val="none" w:sz="0" w:space="0" w:color="auto"/>
      </w:divBdr>
    </w:div>
    <w:div w:id="853692665">
      <w:bodyDiv w:val="1"/>
      <w:marLeft w:val="0"/>
      <w:marRight w:val="0"/>
      <w:marTop w:val="0"/>
      <w:marBottom w:val="0"/>
      <w:divBdr>
        <w:top w:val="none" w:sz="0" w:space="0" w:color="auto"/>
        <w:left w:val="none" w:sz="0" w:space="0" w:color="auto"/>
        <w:bottom w:val="none" w:sz="0" w:space="0" w:color="auto"/>
        <w:right w:val="none" w:sz="0" w:space="0" w:color="auto"/>
      </w:divBdr>
    </w:div>
    <w:div w:id="915750550">
      <w:bodyDiv w:val="1"/>
      <w:marLeft w:val="0"/>
      <w:marRight w:val="0"/>
      <w:marTop w:val="0"/>
      <w:marBottom w:val="0"/>
      <w:divBdr>
        <w:top w:val="none" w:sz="0" w:space="0" w:color="auto"/>
        <w:left w:val="none" w:sz="0" w:space="0" w:color="auto"/>
        <w:bottom w:val="none" w:sz="0" w:space="0" w:color="auto"/>
        <w:right w:val="none" w:sz="0" w:space="0" w:color="auto"/>
      </w:divBdr>
    </w:div>
    <w:div w:id="923027740">
      <w:bodyDiv w:val="1"/>
      <w:marLeft w:val="0"/>
      <w:marRight w:val="0"/>
      <w:marTop w:val="0"/>
      <w:marBottom w:val="0"/>
      <w:divBdr>
        <w:top w:val="none" w:sz="0" w:space="0" w:color="auto"/>
        <w:left w:val="none" w:sz="0" w:space="0" w:color="auto"/>
        <w:bottom w:val="none" w:sz="0" w:space="0" w:color="auto"/>
        <w:right w:val="none" w:sz="0" w:space="0" w:color="auto"/>
      </w:divBdr>
    </w:div>
    <w:div w:id="973289873">
      <w:bodyDiv w:val="1"/>
      <w:marLeft w:val="0"/>
      <w:marRight w:val="0"/>
      <w:marTop w:val="0"/>
      <w:marBottom w:val="0"/>
      <w:divBdr>
        <w:top w:val="none" w:sz="0" w:space="0" w:color="auto"/>
        <w:left w:val="none" w:sz="0" w:space="0" w:color="auto"/>
        <w:bottom w:val="none" w:sz="0" w:space="0" w:color="auto"/>
        <w:right w:val="none" w:sz="0" w:space="0" w:color="auto"/>
      </w:divBdr>
    </w:div>
    <w:div w:id="1025447832">
      <w:bodyDiv w:val="1"/>
      <w:marLeft w:val="0"/>
      <w:marRight w:val="0"/>
      <w:marTop w:val="0"/>
      <w:marBottom w:val="0"/>
      <w:divBdr>
        <w:top w:val="none" w:sz="0" w:space="0" w:color="auto"/>
        <w:left w:val="none" w:sz="0" w:space="0" w:color="auto"/>
        <w:bottom w:val="none" w:sz="0" w:space="0" w:color="auto"/>
        <w:right w:val="none" w:sz="0" w:space="0" w:color="auto"/>
      </w:divBdr>
    </w:div>
    <w:div w:id="1041394660">
      <w:bodyDiv w:val="1"/>
      <w:marLeft w:val="0"/>
      <w:marRight w:val="0"/>
      <w:marTop w:val="0"/>
      <w:marBottom w:val="0"/>
      <w:divBdr>
        <w:top w:val="none" w:sz="0" w:space="0" w:color="auto"/>
        <w:left w:val="none" w:sz="0" w:space="0" w:color="auto"/>
        <w:bottom w:val="none" w:sz="0" w:space="0" w:color="auto"/>
        <w:right w:val="none" w:sz="0" w:space="0" w:color="auto"/>
      </w:divBdr>
    </w:div>
    <w:div w:id="1109811397">
      <w:bodyDiv w:val="1"/>
      <w:marLeft w:val="0"/>
      <w:marRight w:val="0"/>
      <w:marTop w:val="0"/>
      <w:marBottom w:val="0"/>
      <w:divBdr>
        <w:top w:val="none" w:sz="0" w:space="0" w:color="auto"/>
        <w:left w:val="none" w:sz="0" w:space="0" w:color="auto"/>
        <w:bottom w:val="none" w:sz="0" w:space="0" w:color="auto"/>
        <w:right w:val="none" w:sz="0" w:space="0" w:color="auto"/>
      </w:divBdr>
    </w:div>
    <w:div w:id="1243368878">
      <w:bodyDiv w:val="1"/>
      <w:marLeft w:val="0"/>
      <w:marRight w:val="0"/>
      <w:marTop w:val="0"/>
      <w:marBottom w:val="0"/>
      <w:divBdr>
        <w:top w:val="none" w:sz="0" w:space="0" w:color="auto"/>
        <w:left w:val="none" w:sz="0" w:space="0" w:color="auto"/>
        <w:bottom w:val="none" w:sz="0" w:space="0" w:color="auto"/>
        <w:right w:val="none" w:sz="0" w:space="0" w:color="auto"/>
      </w:divBdr>
    </w:div>
    <w:div w:id="1360621359">
      <w:bodyDiv w:val="1"/>
      <w:marLeft w:val="0"/>
      <w:marRight w:val="0"/>
      <w:marTop w:val="0"/>
      <w:marBottom w:val="0"/>
      <w:divBdr>
        <w:top w:val="none" w:sz="0" w:space="0" w:color="auto"/>
        <w:left w:val="none" w:sz="0" w:space="0" w:color="auto"/>
        <w:bottom w:val="none" w:sz="0" w:space="0" w:color="auto"/>
        <w:right w:val="none" w:sz="0" w:space="0" w:color="auto"/>
      </w:divBdr>
    </w:div>
    <w:div w:id="1418096267">
      <w:bodyDiv w:val="1"/>
      <w:marLeft w:val="0"/>
      <w:marRight w:val="0"/>
      <w:marTop w:val="0"/>
      <w:marBottom w:val="0"/>
      <w:divBdr>
        <w:top w:val="none" w:sz="0" w:space="0" w:color="auto"/>
        <w:left w:val="none" w:sz="0" w:space="0" w:color="auto"/>
        <w:bottom w:val="none" w:sz="0" w:space="0" w:color="auto"/>
        <w:right w:val="none" w:sz="0" w:space="0" w:color="auto"/>
      </w:divBdr>
    </w:div>
    <w:div w:id="1428692558">
      <w:bodyDiv w:val="1"/>
      <w:marLeft w:val="0"/>
      <w:marRight w:val="0"/>
      <w:marTop w:val="0"/>
      <w:marBottom w:val="0"/>
      <w:divBdr>
        <w:top w:val="none" w:sz="0" w:space="0" w:color="auto"/>
        <w:left w:val="none" w:sz="0" w:space="0" w:color="auto"/>
        <w:bottom w:val="none" w:sz="0" w:space="0" w:color="auto"/>
        <w:right w:val="none" w:sz="0" w:space="0" w:color="auto"/>
      </w:divBdr>
    </w:div>
    <w:div w:id="1459645925">
      <w:bodyDiv w:val="1"/>
      <w:marLeft w:val="0"/>
      <w:marRight w:val="0"/>
      <w:marTop w:val="0"/>
      <w:marBottom w:val="0"/>
      <w:divBdr>
        <w:top w:val="none" w:sz="0" w:space="0" w:color="auto"/>
        <w:left w:val="none" w:sz="0" w:space="0" w:color="auto"/>
        <w:bottom w:val="none" w:sz="0" w:space="0" w:color="auto"/>
        <w:right w:val="none" w:sz="0" w:space="0" w:color="auto"/>
      </w:divBdr>
    </w:div>
    <w:div w:id="1464076987">
      <w:bodyDiv w:val="1"/>
      <w:marLeft w:val="0"/>
      <w:marRight w:val="0"/>
      <w:marTop w:val="0"/>
      <w:marBottom w:val="0"/>
      <w:divBdr>
        <w:top w:val="none" w:sz="0" w:space="0" w:color="auto"/>
        <w:left w:val="none" w:sz="0" w:space="0" w:color="auto"/>
        <w:bottom w:val="none" w:sz="0" w:space="0" w:color="auto"/>
        <w:right w:val="none" w:sz="0" w:space="0" w:color="auto"/>
      </w:divBdr>
    </w:div>
    <w:div w:id="1486507443">
      <w:bodyDiv w:val="1"/>
      <w:marLeft w:val="0"/>
      <w:marRight w:val="0"/>
      <w:marTop w:val="0"/>
      <w:marBottom w:val="0"/>
      <w:divBdr>
        <w:top w:val="none" w:sz="0" w:space="0" w:color="auto"/>
        <w:left w:val="none" w:sz="0" w:space="0" w:color="auto"/>
        <w:bottom w:val="none" w:sz="0" w:space="0" w:color="auto"/>
        <w:right w:val="none" w:sz="0" w:space="0" w:color="auto"/>
      </w:divBdr>
    </w:div>
    <w:div w:id="1710761689">
      <w:bodyDiv w:val="1"/>
      <w:marLeft w:val="0"/>
      <w:marRight w:val="0"/>
      <w:marTop w:val="0"/>
      <w:marBottom w:val="0"/>
      <w:divBdr>
        <w:top w:val="none" w:sz="0" w:space="0" w:color="auto"/>
        <w:left w:val="none" w:sz="0" w:space="0" w:color="auto"/>
        <w:bottom w:val="none" w:sz="0" w:space="0" w:color="auto"/>
        <w:right w:val="none" w:sz="0" w:space="0" w:color="auto"/>
      </w:divBdr>
    </w:div>
    <w:div w:id="1717965306">
      <w:bodyDiv w:val="1"/>
      <w:marLeft w:val="0"/>
      <w:marRight w:val="0"/>
      <w:marTop w:val="0"/>
      <w:marBottom w:val="0"/>
      <w:divBdr>
        <w:top w:val="none" w:sz="0" w:space="0" w:color="auto"/>
        <w:left w:val="none" w:sz="0" w:space="0" w:color="auto"/>
        <w:bottom w:val="none" w:sz="0" w:space="0" w:color="auto"/>
        <w:right w:val="none" w:sz="0" w:space="0" w:color="auto"/>
      </w:divBdr>
    </w:div>
    <w:div w:id="1732146977">
      <w:bodyDiv w:val="1"/>
      <w:marLeft w:val="0"/>
      <w:marRight w:val="0"/>
      <w:marTop w:val="0"/>
      <w:marBottom w:val="0"/>
      <w:divBdr>
        <w:top w:val="none" w:sz="0" w:space="0" w:color="auto"/>
        <w:left w:val="none" w:sz="0" w:space="0" w:color="auto"/>
        <w:bottom w:val="none" w:sz="0" w:space="0" w:color="auto"/>
        <w:right w:val="none" w:sz="0" w:space="0" w:color="auto"/>
      </w:divBdr>
    </w:div>
    <w:div w:id="1805538465">
      <w:bodyDiv w:val="1"/>
      <w:marLeft w:val="0"/>
      <w:marRight w:val="0"/>
      <w:marTop w:val="0"/>
      <w:marBottom w:val="0"/>
      <w:divBdr>
        <w:top w:val="none" w:sz="0" w:space="0" w:color="auto"/>
        <w:left w:val="none" w:sz="0" w:space="0" w:color="auto"/>
        <w:bottom w:val="none" w:sz="0" w:space="0" w:color="auto"/>
        <w:right w:val="none" w:sz="0" w:space="0" w:color="auto"/>
      </w:divBdr>
    </w:div>
    <w:div w:id="1828285126">
      <w:bodyDiv w:val="1"/>
      <w:marLeft w:val="0"/>
      <w:marRight w:val="0"/>
      <w:marTop w:val="0"/>
      <w:marBottom w:val="0"/>
      <w:divBdr>
        <w:top w:val="none" w:sz="0" w:space="0" w:color="auto"/>
        <w:left w:val="none" w:sz="0" w:space="0" w:color="auto"/>
        <w:bottom w:val="none" w:sz="0" w:space="0" w:color="auto"/>
        <w:right w:val="none" w:sz="0" w:space="0" w:color="auto"/>
      </w:divBdr>
    </w:div>
    <w:div w:id="1884631957">
      <w:bodyDiv w:val="1"/>
      <w:marLeft w:val="0"/>
      <w:marRight w:val="0"/>
      <w:marTop w:val="0"/>
      <w:marBottom w:val="0"/>
      <w:divBdr>
        <w:top w:val="none" w:sz="0" w:space="0" w:color="auto"/>
        <w:left w:val="none" w:sz="0" w:space="0" w:color="auto"/>
        <w:bottom w:val="none" w:sz="0" w:space="0" w:color="auto"/>
        <w:right w:val="none" w:sz="0" w:space="0" w:color="auto"/>
      </w:divBdr>
    </w:div>
    <w:div w:id="2139258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3.xm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chart" Target="charts/chart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chart" Target="charts/chart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4.xml"/><Relationship Id="rId23" Type="http://schemas.openxmlformats.org/officeDocument/2006/relationships/footer" Target="footer1.xml"/><Relationship Id="rId10" Type="http://schemas.openxmlformats.org/officeDocument/2006/relationships/chart" Target="charts/chart2.xml"/><Relationship Id="rId19" Type="http://schemas.openxmlformats.org/officeDocument/2006/relationships/chart" Target="charts/chart7.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despacho.contraloria@contraloriatolima.gov.co" TargetMode="External"/><Relationship Id="rId2" Type="http://schemas.openxmlformats.org/officeDocument/2006/relationships/hyperlink" Target="http://www.contraloriatolima.gov.co" TargetMode="External"/><Relationship Id="rId1" Type="http://schemas.openxmlformats.org/officeDocument/2006/relationships/hyperlink" Target="mailto:despacho.contraloria@contraloriatolima.gov.co" TargetMode="External"/><Relationship Id="rId4" Type="http://schemas.openxmlformats.org/officeDocument/2006/relationships/hyperlink" Target="http://www.contraloriatolim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Hoja_de_c_lculo_de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Hoja_de_c_lculo_de_Microsoft_Excel3.xlsx"/></Relationships>
</file>

<file path=word/charts/_rels/chart4.xml.rels><?xml version="1.0" encoding="UTF-8" standalone="yes"?>
<Relationships xmlns="http://schemas.openxmlformats.org/package/2006/relationships"><Relationship Id="rId2" Type="http://schemas.openxmlformats.org/officeDocument/2006/relationships/oleObject" Target="file:///E:\INFORME%20FISCAL%20Y%20FINANCIERO\2015\ENTIDADES%20TERRITORIALES%2015\LERIDA\CUADROS%20INGRESOS%20-%20GASTOS.xls" TargetMode="External"/><Relationship Id="rId1" Type="http://schemas.openxmlformats.org/officeDocument/2006/relationships/image" Target="../media/image5.jpeg"/></Relationships>
</file>

<file path=word/charts/_rels/chart5.xml.rels><?xml version="1.0" encoding="UTF-8" standalone="yes"?>
<Relationships xmlns="http://schemas.openxmlformats.org/package/2006/relationships"><Relationship Id="rId1" Type="http://schemas.openxmlformats.org/officeDocument/2006/relationships/package" Target="../embeddings/Hoja_de_c_lculo_de_Microsoft_Excel4.xlsx"/></Relationships>
</file>

<file path=word/charts/_rels/chart6.xml.rels><?xml version="1.0" encoding="UTF-8" standalone="yes"?>
<Relationships xmlns="http://schemas.openxmlformats.org/package/2006/relationships"><Relationship Id="rId1" Type="http://schemas.openxmlformats.org/officeDocument/2006/relationships/oleObject" Target="file:///E:\INFORME%20FISCAL%20Y%20FINANCIERO\2015\ENTIDADES%20TERRITORIALES%2015\LERIDA\CUADROS%20INGRESOS%20-%20GASTOS-HANNER.xls" TargetMode="External"/></Relationships>
</file>

<file path=word/charts/_rels/chart7.xml.rels><?xml version="1.0" encoding="UTF-8" standalone="yes"?>
<Relationships xmlns="http://schemas.openxmlformats.org/package/2006/relationships"><Relationship Id="rId1" Type="http://schemas.openxmlformats.org/officeDocument/2006/relationships/package" Target="../embeddings/Hoja_de_c_lculo_de_Microsoft_Excel5.xlsx"/></Relationships>
</file>

<file path=word/charts/_rels/chart8.xml.rels><?xml version="1.0" encoding="UTF-8" standalone="yes"?>
<Relationships xmlns="http://schemas.openxmlformats.org/package/2006/relationships"><Relationship Id="rId1" Type="http://schemas.openxmlformats.org/officeDocument/2006/relationships/oleObject" Target="file:///E:\INFORME%20FISCAL%20Y%20FINANCIERO\2015\ENTIDADES%20TERRITORIALES%2015\LERIDA\CUADROS%20INGRESOS%20-%20GASTOS-HANNER.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0"/>
    </c:view3D>
    <c:floor>
      <c:thickness val="0"/>
    </c:floor>
    <c:sideWall>
      <c:thickness val="0"/>
    </c:sideWall>
    <c:backWall>
      <c:thickness val="0"/>
    </c:backWall>
    <c:plotArea>
      <c:layout/>
      <c:bar3DChart>
        <c:barDir val="col"/>
        <c:grouping val="standard"/>
        <c:varyColors val="0"/>
        <c:ser>
          <c:idx val="0"/>
          <c:order val="0"/>
          <c:tx>
            <c:strRef>
              <c:f>Hoja1!$B$1</c:f>
              <c:strCache>
                <c:ptCount val="1"/>
                <c:pt idx="0">
                  <c:v>PPTO INICIAL</c:v>
                </c:pt>
              </c:strCache>
            </c:strRef>
          </c:tx>
          <c:invertIfNegative val="0"/>
          <c:cat>
            <c:strRef>
              <c:f>Hoja1!$A$2</c:f>
              <c:strCache>
                <c:ptCount val="1"/>
                <c:pt idx="0">
                  <c:v>PPTO.INGRESOS</c:v>
                </c:pt>
              </c:strCache>
            </c:strRef>
          </c:cat>
          <c:val>
            <c:numRef>
              <c:f>Hoja1!$B$2</c:f>
              <c:numCache>
                <c:formatCode>_(* #,##0_);_(* \(#,##0\);_(* "-"??_);_(@_)</c:formatCode>
                <c:ptCount val="1"/>
                <c:pt idx="0">
                  <c:v>13605184</c:v>
                </c:pt>
              </c:numCache>
            </c:numRef>
          </c:val>
        </c:ser>
        <c:ser>
          <c:idx val="1"/>
          <c:order val="1"/>
          <c:tx>
            <c:strRef>
              <c:f>Hoja1!$C$1</c:f>
              <c:strCache>
                <c:ptCount val="1"/>
                <c:pt idx="0">
                  <c:v>ADICIONES</c:v>
                </c:pt>
              </c:strCache>
            </c:strRef>
          </c:tx>
          <c:invertIfNegative val="0"/>
          <c:cat>
            <c:strRef>
              <c:f>Hoja1!$A$2</c:f>
              <c:strCache>
                <c:ptCount val="1"/>
                <c:pt idx="0">
                  <c:v>PPTO.INGRESOS</c:v>
                </c:pt>
              </c:strCache>
            </c:strRef>
          </c:cat>
          <c:val>
            <c:numRef>
              <c:f>Hoja1!$C$2</c:f>
              <c:numCache>
                <c:formatCode>_(* #,##0_);_(* \(#,##0\);_(* "-"??_);_(@_)</c:formatCode>
                <c:ptCount val="1"/>
                <c:pt idx="0">
                  <c:v>9053912</c:v>
                </c:pt>
              </c:numCache>
            </c:numRef>
          </c:val>
        </c:ser>
        <c:ser>
          <c:idx val="2"/>
          <c:order val="2"/>
          <c:tx>
            <c:strRef>
              <c:f>Hoja1!$D$1</c:f>
              <c:strCache>
                <c:ptCount val="1"/>
                <c:pt idx="0">
                  <c:v>REDUCCIONES</c:v>
                </c:pt>
              </c:strCache>
            </c:strRef>
          </c:tx>
          <c:invertIfNegative val="0"/>
          <c:cat>
            <c:strRef>
              <c:f>Hoja1!$A$2</c:f>
              <c:strCache>
                <c:ptCount val="1"/>
                <c:pt idx="0">
                  <c:v>PPTO.INGRESOS</c:v>
                </c:pt>
              </c:strCache>
            </c:strRef>
          </c:cat>
          <c:val>
            <c:numRef>
              <c:f>Hoja1!$D$2</c:f>
              <c:numCache>
                <c:formatCode>_(* #,##0_);_(* \(#,##0\);_(* "-"??_);_(@_)</c:formatCode>
                <c:ptCount val="1"/>
                <c:pt idx="0">
                  <c:v>18824</c:v>
                </c:pt>
              </c:numCache>
            </c:numRef>
          </c:val>
        </c:ser>
        <c:ser>
          <c:idx val="3"/>
          <c:order val="3"/>
          <c:tx>
            <c:strRef>
              <c:f>Hoja1!$E$1</c:f>
              <c:strCache>
                <c:ptCount val="1"/>
                <c:pt idx="0">
                  <c:v>PPTO DEFINITIVO</c:v>
                </c:pt>
              </c:strCache>
            </c:strRef>
          </c:tx>
          <c:invertIfNegative val="0"/>
          <c:cat>
            <c:strRef>
              <c:f>Hoja1!$A$2</c:f>
              <c:strCache>
                <c:ptCount val="1"/>
                <c:pt idx="0">
                  <c:v>PPTO.INGRESOS</c:v>
                </c:pt>
              </c:strCache>
            </c:strRef>
          </c:cat>
          <c:val>
            <c:numRef>
              <c:f>Hoja1!$E$2</c:f>
              <c:numCache>
                <c:formatCode>_(* #,##0_);_(* \(#,##0\);_(* "-"??_);_(@_)</c:formatCode>
                <c:ptCount val="1"/>
                <c:pt idx="0">
                  <c:v>22640272</c:v>
                </c:pt>
              </c:numCache>
            </c:numRef>
          </c:val>
        </c:ser>
        <c:dLbls>
          <c:showLegendKey val="0"/>
          <c:showVal val="0"/>
          <c:showCatName val="0"/>
          <c:showSerName val="0"/>
          <c:showPercent val="0"/>
          <c:showBubbleSize val="0"/>
        </c:dLbls>
        <c:gapWidth val="150"/>
        <c:shape val="pyramid"/>
        <c:axId val="1477993056"/>
        <c:axId val="1477994144"/>
        <c:axId val="1480685712"/>
      </c:bar3DChart>
      <c:catAx>
        <c:axId val="1477993056"/>
        <c:scaling>
          <c:orientation val="minMax"/>
        </c:scaling>
        <c:delete val="0"/>
        <c:axPos val="b"/>
        <c:numFmt formatCode="General" sourceLinked="0"/>
        <c:majorTickMark val="out"/>
        <c:minorTickMark val="none"/>
        <c:tickLblPos val="nextTo"/>
        <c:crossAx val="1477994144"/>
        <c:crosses val="autoZero"/>
        <c:auto val="1"/>
        <c:lblAlgn val="ctr"/>
        <c:lblOffset val="100"/>
        <c:noMultiLvlLbl val="0"/>
      </c:catAx>
      <c:valAx>
        <c:axId val="1477994144"/>
        <c:scaling>
          <c:orientation val="minMax"/>
        </c:scaling>
        <c:delete val="0"/>
        <c:axPos val="l"/>
        <c:majorGridlines/>
        <c:numFmt formatCode="_(* #,##0_);_(* \(#,##0\);_(* &quot;-&quot;??_);_(@_)" sourceLinked="1"/>
        <c:majorTickMark val="out"/>
        <c:minorTickMark val="none"/>
        <c:tickLblPos val="nextTo"/>
        <c:crossAx val="1477993056"/>
        <c:crosses val="autoZero"/>
        <c:crossBetween val="between"/>
      </c:valAx>
      <c:serAx>
        <c:axId val="1480685712"/>
        <c:scaling>
          <c:orientation val="minMax"/>
        </c:scaling>
        <c:delete val="0"/>
        <c:axPos val="b"/>
        <c:majorTickMark val="out"/>
        <c:minorTickMark val="none"/>
        <c:tickLblPos val="nextTo"/>
        <c:crossAx val="1477994144"/>
        <c:crosses val="autoZero"/>
      </c:serAx>
    </c:plotArea>
    <c:legend>
      <c:legendPos val="r"/>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plotArea>
      <c:layout/>
      <c:pieChart>
        <c:varyColors val="1"/>
        <c:ser>
          <c:idx val="0"/>
          <c:order val="0"/>
          <c:tx>
            <c:strRef>
              <c:f>Hoja1!$B$1</c:f>
              <c:strCache>
                <c:ptCount val="1"/>
                <c:pt idx="0">
                  <c:v>PRESUPUESTO INICIAL</c:v>
                </c:pt>
              </c:strCache>
            </c:strRef>
          </c:tx>
          <c:dLbls>
            <c:dLbl>
              <c:idx val="0"/>
              <c:layout>
                <c:manualLayout>
                  <c:x val="-0.16894138232720909"/>
                  <c:y val="0.13613405906228934"/>
                </c:manualLayout>
              </c:layout>
              <c:tx>
                <c:rich>
                  <a:bodyPr/>
                  <a:lstStyle/>
                  <a:p>
                    <a:r>
                      <a:rPr lang="en-US"/>
                      <a:t>Ing.</a:t>
                    </a:r>
                    <a:r>
                      <a:rPr lang="en-US" baseline="0"/>
                      <a:t> Tributarios</a:t>
                    </a:r>
                  </a:p>
                  <a:p>
                    <a:r>
                      <a:rPr lang="en-US" baseline="0"/>
                      <a:t>27.51%</a:t>
                    </a:r>
                    <a:endParaRPr lang="en-US"/>
                  </a:p>
                </c:rich>
              </c:tx>
              <c:showLegendKey val="1"/>
              <c:showVal val="1"/>
              <c:showCatName val="0"/>
              <c:showSerName val="0"/>
              <c:showPercent val="0"/>
              <c:showBubbleSize val="0"/>
              <c:extLst>
                <c:ext xmlns:c15="http://schemas.microsoft.com/office/drawing/2012/chart" uri="{CE6537A1-D6FC-4f65-9D91-7224C49458BB}">
                  <c15:layout/>
                </c:ext>
              </c:extLst>
            </c:dLbl>
            <c:dLbl>
              <c:idx val="1"/>
              <c:layout/>
              <c:tx>
                <c:rich>
                  <a:bodyPr/>
                  <a:lstStyle/>
                  <a:p>
                    <a:r>
                      <a:rPr lang="en-US"/>
                      <a:t>Ing.</a:t>
                    </a:r>
                    <a:r>
                      <a:rPr lang="en-US" baseline="0"/>
                      <a:t> No Tributarios 20.82%</a:t>
                    </a:r>
                    <a:endParaRPr lang="en-US"/>
                  </a:p>
                </c:rich>
              </c:tx>
              <c:showLegendKey val="1"/>
              <c:showVal val="1"/>
              <c:showCatName val="0"/>
              <c:showSerName val="0"/>
              <c:showPercent val="0"/>
              <c:showBubbleSize val="0"/>
              <c:extLst>
                <c:ext xmlns:c15="http://schemas.microsoft.com/office/drawing/2012/chart" uri="{CE6537A1-D6FC-4f65-9D91-7224C49458BB}">
                  <c15:layout/>
                </c:ext>
              </c:extLst>
            </c:dLbl>
            <c:dLbl>
              <c:idx val="2"/>
              <c:layout/>
              <c:tx>
                <c:rich>
                  <a:bodyPr/>
                  <a:lstStyle/>
                  <a:p>
                    <a:r>
                      <a:rPr lang="en-US"/>
                      <a:t>Fondos Especiales 51.67%</a:t>
                    </a:r>
                  </a:p>
                </c:rich>
              </c:tx>
              <c:showLegendKey val="1"/>
              <c:showVal val="1"/>
              <c:showCatName val="0"/>
              <c:showSerName val="0"/>
              <c:showPercent val="0"/>
              <c:showBubbleSize val="0"/>
              <c:extLst>
                <c:ext xmlns:c15="http://schemas.microsoft.com/office/drawing/2012/chart" uri="{CE6537A1-D6FC-4f65-9D91-7224C49458BB}">
                  <c15:layout/>
                </c:ext>
              </c:extLst>
            </c:dLbl>
            <c:spPr>
              <a:noFill/>
              <a:ln>
                <a:noFill/>
              </a:ln>
              <a:effectLst/>
            </c:spPr>
            <c:showLegendKey val="1"/>
            <c:showVal val="1"/>
            <c:showCatName val="0"/>
            <c:showSerName val="0"/>
            <c:showPercent val="0"/>
            <c:showBubbleSize val="0"/>
            <c:showLeaderLines val="1"/>
            <c:extLst>
              <c:ext xmlns:c15="http://schemas.microsoft.com/office/drawing/2012/chart" uri="{CE6537A1-D6FC-4f65-9D91-7224C49458BB}"/>
            </c:extLst>
          </c:dLbls>
          <c:cat>
            <c:strRef>
              <c:f>Hoja1!$A$2:$A$4</c:f>
              <c:strCache>
                <c:ptCount val="3"/>
                <c:pt idx="0">
                  <c:v>Ing. Tributarios $3.743.370.570</c:v>
                </c:pt>
                <c:pt idx="1">
                  <c:v>Ing. No Tributarios  $2.832.940.162</c:v>
                </c:pt>
                <c:pt idx="2">
                  <c:v>Fondos Especiales   $7.029.873.723</c:v>
                </c:pt>
              </c:strCache>
            </c:strRef>
          </c:cat>
          <c:val>
            <c:numRef>
              <c:f>Hoja1!$B$2:$B$4</c:f>
              <c:numCache>
                <c:formatCode>General</c:formatCode>
                <c:ptCount val="3"/>
                <c:pt idx="0">
                  <c:v>3743370</c:v>
                </c:pt>
                <c:pt idx="1">
                  <c:v>2831940</c:v>
                </c:pt>
                <c:pt idx="2">
                  <c:v>7029783</c:v>
                </c:pt>
              </c:numCache>
            </c:numRef>
          </c:val>
        </c:ser>
        <c:dLbls>
          <c:showLegendKey val="0"/>
          <c:showVal val="0"/>
          <c:showCatName val="0"/>
          <c:showSerName val="0"/>
          <c:showPercent val="0"/>
          <c:showBubbleSize val="0"/>
          <c:showLeaderLines val="1"/>
        </c:dLbls>
        <c:firstSliceAng val="0"/>
      </c:pieChart>
    </c:plotArea>
    <c:legend>
      <c:legendPos val="r"/>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6"/>
    </mc:Choice>
    <mc:Fallback>
      <c:style val="26"/>
    </mc:Fallback>
  </mc:AlternateContent>
  <c:chart>
    <c:title>
      <c:layout/>
      <c:overlay val="0"/>
    </c:title>
    <c:autoTitleDeleted val="0"/>
    <c:plotArea>
      <c:layout/>
      <c:pieChart>
        <c:varyColors val="1"/>
        <c:ser>
          <c:idx val="0"/>
          <c:order val="0"/>
          <c:tx>
            <c:strRef>
              <c:f>Hoja1!$B$1</c:f>
              <c:strCache>
                <c:ptCount val="1"/>
                <c:pt idx="0">
                  <c:v>PRINCIPALES FUENTES DE FINANCIACION</c:v>
                </c:pt>
              </c:strCache>
            </c:strRef>
          </c:tx>
          <c:explosion val="25"/>
          <c:dLbls>
            <c:dLbl>
              <c:idx val="0"/>
              <c:layout>
                <c:manualLayout>
                  <c:x val="-1.1568788276465443E-2"/>
                  <c:y val="7.1244151546274101E-2"/>
                </c:manualLayout>
              </c:layout>
              <c:tx>
                <c:rich>
                  <a:bodyPr/>
                  <a:lstStyle/>
                  <a:p>
                    <a:r>
                      <a:rPr lang="en-US"/>
                      <a:t>Convenios</a:t>
                    </a:r>
                  </a:p>
                </c:rich>
              </c:tx>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7.3288312919218432E-2"/>
                  <c:y val="4.6771225607668609E-2"/>
                </c:manualLayout>
              </c:layout>
              <c:tx>
                <c:rich>
                  <a:bodyPr/>
                  <a:lstStyle/>
                  <a:p>
                    <a:r>
                      <a:rPr lang="en-US"/>
                      <a:t>Ing.</a:t>
                    </a:r>
                    <a:r>
                      <a:rPr lang="en-US" baseline="0"/>
                      <a:t> No Tributarios</a:t>
                    </a:r>
                    <a:endParaRPr lang="en-US"/>
                  </a:p>
                </c:rich>
              </c:tx>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7.4307469378827651E-2"/>
                  <c:y val="-4.5943170147209861E-2"/>
                </c:manualLayout>
              </c:layout>
              <c:tx>
                <c:rich>
                  <a:bodyPr/>
                  <a:lstStyle/>
                  <a:p>
                    <a:r>
                      <a:rPr lang="en-US"/>
                      <a:t>Ing.</a:t>
                    </a:r>
                    <a:r>
                      <a:rPr lang="en-US" baseline="0"/>
                      <a:t> Tributarios</a:t>
                    </a:r>
                    <a:endParaRPr lang="en-US"/>
                  </a:p>
                </c:rich>
              </c:tx>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1.2980825313502479E-2"/>
                  <c:y val="-0.12634920634920635"/>
                </c:manualLayout>
              </c:layout>
              <c:tx>
                <c:rich>
                  <a:bodyPr/>
                  <a:lstStyle/>
                  <a:p>
                    <a:r>
                      <a:rPr lang="en-US"/>
                      <a:t>Recursos de</a:t>
                    </a:r>
                  </a:p>
                  <a:p>
                    <a:r>
                      <a:rPr lang="en-US"/>
                      <a:t> Capital</a:t>
                    </a:r>
                  </a:p>
                </c:rich>
              </c:tx>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0.11157990667833187"/>
                  <c:y val="-1.5968609984358017E-2"/>
                </c:manualLayout>
              </c:layout>
              <c:tx>
                <c:rich>
                  <a:bodyPr/>
                  <a:lstStyle/>
                  <a:p>
                    <a:r>
                      <a:rPr lang="en-US"/>
                      <a:t>Sistema</a:t>
                    </a:r>
                    <a:r>
                      <a:rPr lang="en-US" baseline="0"/>
                      <a:t> General de </a:t>
                    </a:r>
                    <a:r>
                      <a:rPr lang="en-US"/>
                      <a:t>Participaciones</a:t>
                    </a:r>
                  </a:p>
                </c:rich>
              </c:tx>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3.8110965296004669E-2"/>
                  <c:y val="0.11526215473065866"/>
                </c:manualLayout>
              </c:layout>
              <c:tx>
                <c:rich>
                  <a:bodyPr/>
                  <a:lstStyle/>
                  <a:p>
                    <a:r>
                      <a:rPr lang="en-US"/>
                      <a:t>Sistema</a:t>
                    </a:r>
                    <a:r>
                      <a:rPr lang="en-US" baseline="0"/>
                      <a:t> General</a:t>
                    </a:r>
                  </a:p>
                  <a:p>
                    <a:r>
                      <a:rPr lang="en-US" baseline="0"/>
                      <a:t>de Regalías</a:t>
                    </a:r>
                    <a:endParaRPr lang="en-US"/>
                  </a:p>
                </c:rich>
              </c:tx>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extLst>
          </c:dLbls>
          <c:cat>
            <c:strRef>
              <c:f>Hoja1!$A$2:$A$7</c:f>
              <c:strCache>
                <c:ptCount val="6"/>
                <c:pt idx="0">
                  <c:v>Convenios  9%</c:v>
                </c:pt>
                <c:pt idx="1">
                  <c:v>Ing. No Tributarios  14%</c:v>
                </c:pt>
                <c:pt idx="2">
                  <c:v>Ing. Tributarios  20%</c:v>
                </c:pt>
                <c:pt idx="3">
                  <c:v>Recursos de Capital 15%</c:v>
                </c:pt>
                <c:pt idx="4">
                  <c:v>Sistema General de Participaciones  34%</c:v>
                </c:pt>
                <c:pt idx="5">
                  <c:v>Sistema General
de Regalias         8%</c:v>
                </c:pt>
              </c:strCache>
            </c:strRef>
          </c:cat>
          <c:val>
            <c:numRef>
              <c:f>Hoja1!$B$2:$B$7</c:f>
              <c:numCache>
                <c:formatCode>General</c:formatCode>
                <c:ptCount val="6"/>
                <c:pt idx="0">
                  <c:v>1953798</c:v>
                </c:pt>
                <c:pt idx="1">
                  <c:v>3219543</c:v>
                </c:pt>
                <c:pt idx="2">
                  <c:v>4415136</c:v>
                </c:pt>
                <c:pt idx="3">
                  <c:v>3450962</c:v>
                </c:pt>
                <c:pt idx="4">
                  <c:v>7762382</c:v>
                </c:pt>
                <c:pt idx="5">
                  <c:v>1838448</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74928277194517356"/>
          <c:y val="0.12281183602049744"/>
          <c:w val="0.2229394502770487"/>
          <c:h val="0.83353737032870889"/>
        </c:manualLayout>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sz="1400"/>
              <a:t>PRESUPUESTO INICIAL GASTOS</a:t>
            </a:r>
          </a:p>
        </c:rich>
      </c:tx>
      <c:layout/>
      <c:overlay val="0"/>
    </c:title>
    <c:autoTitleDeleted val="0"/>
    <c:view3D>
      <c:rotX val="30"/>
      <c:rotY val="0"/>
      <c:rAngAx val="0"/>
    </c:view3D>
    <c:floor>
      <c:thickness val="0"/>
    </c:floor>
    <c:sideWall>
      <c:thickness val="0"/>
    </c:sideWall>
    <c:backWall>
      <c:thickness val="0"/>
    </c:backWall>
    <c:plotArea>
      <c:layout/>
      <c:pie3DChart>
        <c:varyColors val="1"/>
        <c:ser>
          <c:idx val="0"/>
          <c:order val="0"/>
          <c:explosion val="25"/>
          <c:dPt>
            <c:idx val="0"/>
            <c:bubble3D val="0"/>
          </c:dPt>
          <c:dPt>
            <c:idx val="1"/>
            <c:bubble3D val="0"/>
          </c:dPt>
          <c:dLbls>
            <c:dLbl>
              <c:idx val="0"/>
              <c:layout/>
              <c:tx>
                <c:rich>
                  <a:bodyPr/>
                  <a:lstStyle/>
                  <a:p>
                    <a:r>
                      <a:rPr lang="en-US"/>
                      <a:t>24.62%</a:t>
                    </a:r>
                  </a:p>
                </c:rich>
              </c:tx>
              <c:showLegendKey val="0"/>
              <c:showVal val="0"/>
              <c:showCatName val="0"/>
              <c:showSerName val="0"/>
              <c:showPercent val="1"/>
              <c:showBubbleSize val="0"/>
              <c:extLst>
                <c:ext xmlns:c15="http://schemas.microsoft.com/office/drawing/2012/chart" uri="{CE6537A1-D6FC-4f65-9D91-7224C49458BB}">
                  <c15:layout/>
                </c:ext>
              </c:extLst>
            </c:dLbl>
            <c:dLbl>
              <c:idx val="1"/>
              <c:layout/>
              <c:tx>
                <c:rich>
                  <a:bodyPr/>
                  <a:lstStyle/>
                  <a:p>
                    <a:r>
                      <a:rPr lang="en-US"/>
                      <a:t>75.38%</a:t>
                    </a:r>
                  </a:p>
                </c:rich>
              </c:tx>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showLegendKey val="0"/>
            <c:showVal val="0"/>
            <c:showCatName val="0"/>
            <c:showSerName val="0"/>
            <c:showPercent val="1"/>
            <c:showBubbleSize val="0"/>
            <c:showLeaderLines val="0"/>
            <c:extLst>
              <c:ext xmlns:c15="http://schemas.microsoft.com/office/drawing/2012/chart" uri="{CE6537A1-D6FC-4f65-9D91-7224C49458BB}"/>
            </c:extLst>
          </c:dLbls>
          <c:cat>
            <c:strRef>
              <c:f>Hoja1!$A$37:$A$38</c:f>
              <c:strCache>
                <c:ptCount val="2"/>
                <c:pt idx="0">
                  <c:v>GASTOS DE FUNCIONAMIENTO</c:v>
                </c:pt>
                <c:pt idx="1">
                  <c:v>INVERSION</c:v>
                </c:pt>
              </c:strCache>
            </c:strRef>
          </c:cat>
          <c:val>
            <c:numRef>
              <c:f>Hoja1!$B$37:$B$38</c:f>
              <c:numCache>
                <c:formatCode>#,##0</c:formatCode>
                <c:ptCount val="2"/>
                <c:pt idx="0">
                  <c:v>3349064000</c:v>
                </c:pt>
                <c:pt idx="1">
                  <c:v>10256120455</c:v>
                </c:pt>
              </c:numCache>
            </c:numRef>
          </c:val>
        </c:ser>
        <c:dLbls>
          <c:showLegendKey val="0"/>
          <c:showVal val="0"/>
          <c:showCatName val="0"/>
          <c:showSerName val="0"/>
          <c:showPercent val="0"/>
          <c:showBubbleSize val="0"/>
          <c:showLeaderLines val="0"/>
        </c:dLbls>
      </c:pie3DChart>
      <c:spPr>
        <a:noFill/>
        <a:ln w="25400">
          <a:noFill/>
        </a:ln>
      </c:spPr>
    </c:plotArea>
    <c:legend>
      <c:legendPos val="r"/>
      <c:layout>
        <c:manualLayout>
          <c:xMode val="edge"/>
          <c:yMode val="edge"/>
          <c:x val="0.6871628388223624"/>
          <c:y val="0.31864495751590372"/>
          <c:w val="0.28571499765061015"/>
          <c:h val="0.47118777525690647"/>
        </c:manualLayout>
      </c:layout>
      <c:overlay val="0"/>
    </c:legend>
    <c:plotVisOnly val="1"/>
    <c:dispBlanksAs val="gap"/>
    <c:showDLblsOverMax val="0"/>
  </c:chart>
  <c:spPr>
    <a:blipFill>
      <a:blip xmlns:r="http://schemas.openxmlformats.org/officeDocument/2006/relationships" r:embed="rId1"/>
      <a:tile tx="0" ty="0" sx="100000" sy="100000" flip="none" algn="tl"/>
    </a:blipFill>
  </c:sp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GASTOS DE FUNCIONAMIENTO</a:t>
            </a:r>
          </a:p>
        </c:rich>
      </c:tx>
      <c:layout/>
      <c:overlay val="0"/>
    </c:title>
    <c:autoTitleDeleted val="0"/>
    <c:plotArea>
      <c:layout/>
      <c:pieChart>
        <c:varyColors val="1"/>
        <c:ser>
          <c:idx val="0"/>
          <c:order val="0"/>
          <c:tx>
            <c:strRef>
              <c:f>Hoja1!$B$1</c:f>
              <c:strCache>
                <c:ptCount val="1"/>
                <c:pt idx="0">
                  <c:v>Columna1</c:v>
                </c:pt>
              </c:strCache>
            </c:strRef>
          </c:tx>
          <c:dLbls>
            <c:dLbl>
              <c:idx val="0"/>
              <c:layout/>
              <c:tx>
                <c:rich>
                  <a:bodyPr/>
                  <a:lstStyle/>
                  <a:p>
                    <a:r>
                      <a:rPr lang="en-US"/>
                      <a:t>Servicios Personales 
9.40%</a:t>
                    </a:r>
                  </a:p>
                </c:rich>
              </c:tx>
              <c:showLegendKey val="0"/>
              <c:showVal val="0"/>
              <c:showCatName val="1"/>
              <c:showSerName val="0"/>
              <c:showPercent val="1"/>
              <c:showBubbleSize val="0"/>
              <c:extLst>
                <c:ext xmlns:c15="http://schemas.microsoft.com/office/drawing/2012/chart" uri="{CE6537A1-D6FC-4f65-9D91-7224C49458BB}">
                  <c15:layout/>
                </c:ext>
              </c:extLst>
            </c:dLbl>
            <c:dLbl>
              <c:idx val="1"/>
              <c:layout/>
              <c:tx>
                <c:rich>
                  <a:bodyPr/>
                  <a:lstStyle/>
                  <a:p>
                    <a:r>
                      <a:rPr lang="en-US"/>
                      <a:t>Gastos Generales
8.64%</a:t>
                    </a:r>
                  </a:p>
                </c:rich>
              </c:tx>
              <c:showLegendKey val="0"/>
              <c:showVal val="0"/>
              <c:showCatName val="1"/>
              <c:showSerName val="0"/>
              <c:showPercent val="1"/>
              <c:showBubbleSize val="0"/>
              <c:extLst>
                <c:ext xmlns:c15="http://schemas.microsoft.com/office/drawing/2012/chart" uri="{CE6537A1-D6FC-4f65-9D91-7224C49458BB}">
                  <c15:layout/>
                </c:ext>
              </c:extLst>
            </c:dLbl>
            <c:dLbl>
              <c:idx val="2"/>
              <c:layout>
                <c:manualLayout>
                  <c:x val="0.13611056430446197"/>
                  <c:y val="0.18791050036600812"/>
                </c:manualLayout>
              </c:layout>
              <c:tx>
                <c:rich>
                  <a:bodyPr/>
                  <a:lstStyle/>
                  <a:p>
                    <a:r>
                      <a:rPr lang="en-US"/>
                      <a:t>Transferencias
6.58%</a:t>
                    </a:r>
                  </a:p>
                </c:rich>
              </c:tx>
              <c:showLegendKey val="0"/>
              <c:showVal val="0"/>
              <c:showCatName val="1"/>
              <c:showSerName val="0"/>
              <c:showPercent val="1"/>
              <c:showBubbleSize val="0"/>
              <c:extLst>
                <c:ext xmlns:c15="http://schemas.microsoft.com/office/drawing/2012/chart" uri="{CE6537A1-D6FC-4f65-9D91-7224C49458BB}">
                  <c15:layout/>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Hoja1!$A$2:$A$4</c:f>
              <c:strCache>
                <c:ptCount val="3"/>
                <c:pt idx="0">
                  <c:v>Servicios Personales </c:v>
                </c:pt>
                <c:pt idx="1">
                  <c:v>Gastos Generales</c:v>
                </c:pt>
                <c:pt idx="2">
                  <c:v>Transferencias</c:v>
                </c:pt>
              </c:strCache>
            </c:strRef>
          </c:cat>
          <c:val>
            <c:numRef>
              <c:f>Hoja1!$B$2:$B$4</c:f>
              <c:numCache>
                <c:formatCode>General</c:formatCode>
                <c:ptCount val="3"/>
                <c:pt idx="0">
                  <c:v>9.4</c:v>
                </c:pt>
                <c:pt idx="1">
                  <c:v>8.64</c:v>
                </c:pt>
                <c:pt idx="2">
                  <c:v>6.58</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4"/>
    </mc:Choice>
    <mc:Fallback>
      <c:style val="34"/>
    </mc:Fallback>
  </mc:AlternateContent>
  <c:chart>
    <c:title>
      <c:tx>
        <c:rich>
          <a:bodyPr/>
          <a:lstStyle/>
          <a:p>
            <a:pPr>
              <a:defRPr/>
            </a:pPr>
            <a:r>
              <a:rPr lang="en-US"/>
              <a:t>PRESUPUESTO INICIAL GASTOS DE INVERSION</a:t>
            </a:r>
          </a:p>
        </c:rich>
      </c:tx>
      <c:layout/>
      <c:overlay val="0"/>
    </c:title>
    <c:autoTitleDeleted val="0"/>
    <c:view3D>
      <c:rotX val="30"/>
      <c:rotY val="0"/>
      <c:rAngAx val="0"/>
    </c:view3D>
    <c:floor>
      <c:thickness val="0"/>
    </c:floor>
    <c:sideWall>
      <c:thickness val="0"/>
    </c:sideWall>
    <c:backWall>
      <c:thickness val="0"/>
    </c:backWall>
    <c:plotArea>
      <c:layout/>
      <c:pie3DChart>
        <c:varyColors val="1"/>
        <c:ser>
          <c:idx val="0"/>
          <c:order val="0"/>
          <c:explosion val="25"/>
          <c:dLbls>
            <c:dLbl>
              <c:idx val="2"/>
              <c:layout>
                <c:manualLayout>
                  <c:x val="-0.18465881727260641"/>
                  <c:y val="3.5012128223308576E-2"/>
                </c:manualLayout>
              </c:layout>
              <c:tx>
                <c:rich>
                  <a:bodyPr/>
                  <a:lstStyle/>
                  <a:p>
                    <a:r>
                      <a:rPr lang="en-US"/>
                      <a:t>OTROS SECTORES</a:t>
                    </a:r>
                  </a:p>
                  <a:p>
                    <a:r>
                      <a:rPr lang="en-US"/>
                      <a:t>35%</a:t>
                    </a:r>
                  </a:p>
                </c:rich>
              </c:tx>
              <c:showLegendKey val="0"/>
              <c:showVal val="0"/>
              <c:showCatName val="0"/>
              <c:showSerName val="0"/>
              <c:showPercent val="1"/>
              <c:showBubbleSize val="0"/>
              <c:extLst>
                <c:ext xmlns:c15="http://schemas.microsoft.com/office/drawing/2012/chart" uri="{CE6537A1-D6FC-4f65-9D91-7224C49458BB}">
                  <c15:layout/>
                </c:ext>
              </c:extLst>
            </c:dLbl>
            <c:dLbl>
              <c:idx val="6"/>
              <c:layout>
                <c:manualLayout>
                  <c:x val="0.15303314571607254"/>
                  <c:y val="-4.6529089077135502E-2"/>
                </c:manualLayout>
              </c:layout>
              <c:tx>
                <c:rich>
                  <a:bodyPr/>
                  <a:lstStyle/>
                  <a:p>
                    <a:r>
                      <a:rPr lang="en-US"/>
                      <a:t>SALUD</a:t>
                    </a:r>
                    <a:r>
                      <a:rPr lang="en-US" baseline="0"/>
                      <a:t>  </a:t>
                    </a:r>
                  </a:p>
                  <a:p>
                    <a:r>
                      <a:rPr lang="en-US"/>
                      <a:t>52%</a:t>
                    </a:r>
                  </a:p>
                </c:rich>
              </c:tx>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15:layout/>
              </c:ext>
            </c:extLst>
          </c:dLbls>
          <c:cat>
            <c:strRef>
              <c:f>'GRAFICO-GTOS'!$B$1:$B$7</c:f>
              <c:strCache>
                <c:ptCount val="7"/>
                <c:pt idx="0">
                  <c:v>ALIMENTACION ESCOLAR</c:v>
                </c:pt>
                <c:pt idx="1">
                  <c:v>DEPORTE</c:v>
                </c:pt>
                <c:pt idx="2">
                  <c:v>OTROS SECTORES</c:v>
                </c:pt>
                <c:pt idx="3">
                  <c:v>CULTURA</c:v>
                </c:pt>
                <c:pt idx="4">
                  <c:v>AGUA POTABLE Y SANEAMIENTO BASICO</c:v>
                </c:pt>
                <c:pt idx="5">
                  <c:v>SECTOR EDUCACION</c:v>
                </c:pt>
                <c:pt idx="6">
                  <c:v>SALUD</c:v>
                </c:pt>
              </c:strCache>
            </c:strRef>
          </c:cat>
          <c:val>
            <c:numRef>
              <c:f>'GRAFICO-GTOS'!$C$1:$C$7</c:f>
              <c:numCache>
                <c:formatCode>#,##0</c:formatCode>
                <c:ptCount val="7"/>
                <c:pt idx="0">
                  <c:v>51912566</c:v>
                </c:pt>
                <c:pt idx="1">
                  <c:v>197359598</c:v>
                </c:pt>
                <c:pt idx="2">
                  <c:v>4811519597</c:v>
                </c:pt>
                <c:pt idx="3">
                  <c:v>326725823</c:v>
                </c:pt>
                <c:pt idx="4">
                  <c:v>503565454</c:v>
                </c:pt>
                <c:pt idx="5">
                  <c:v>604227694</c:v>
                </c:pt>
                <c:pt idx="6">
                  <c:v>7109873723</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0.66688019818455546"/>
          <c:y val="0.14736522361582269"/>
          <c:w val="0.30618886603138573"/>
          <c:h val="0.79131424315050514"/>
        </c:manualLayout>
      </c:layout>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Hoja1!$B$1</c:f>
              <c:strCache>
                <c:ptCount val="1"/>
                <c:pt idx="0">
                  <c:v>Ppto Inicial</c:v>
                </c:pt>
              </c:strCache>
            </c:strRef>
          </c:tx>
          <c:invertIfNegative val="0"/>
          <c:cat>
            <c:strRef>
              <c:f>Hoja1!$A$2:$A$3</c:f>
              <c:strCache>
                <c:ptCount val="2"/>
                <c:pt idx="0">
                  <c:v>Gastos de Funcionamiento</c:v>
                </c:pt>
                <c:pt idx="1">
                  <c:v>Gastos de Inversion</c:v>
                </c:pt>
              </c:strCache>
            </c:strRef>
          </c:cat>
          <c:val>
            <c:numRef>
              <c:f>Hoja1!$B$2:$B$3</c:f>
              <c:numCache>
                <c:formatCode>General</c:formatCode>
                <c:ptCount val="2"/>
                <c:pt idx="0">
                  <c:v>3349064</c:v>
                </c:pt>
                <c:pt idx="1">
                  <c:v>10256120</c:v>
                </c:pt>
              </c:numCache>
            </c:numRef>
          </c:val>
        </c:ser>
        <c:ser>
          <c:idx val="1"/>
          <c:order val="1"/>
          <c:tx>
            <c:strRef>
              <c:f>Hoja1!$C$1</c:f>
              <c:strCache>
                <c:ptCount val="1"/>
                <c:pt idx="0">
                  <c:v>Adiciones</c:v>
                </c:pt>
              </c:strCache>
            </c:strRef>
          </c:tx>
          <c:invertIfNegative val="0"/>
          <c:cat>
            <c:strRef>
              <c:f>Hoja1!$A$2:$A$3</c:f>
              <c:strCache>
                <c:ptCount val="2"/>
                <c:pt idx="0">
                  <c:v>Gastos de Funcionamiento</c:v>
                </c:pt>
                <c:pt idx="1">
                  <c:v>Gastos de Inversion</c:v>
                </c:pt>
              </c:strCache>
            </c:strRef>
          </c:cat>
          <c:val>
            <c:numRef>
              <c:f>Hoja1!$C$2:$C$3</c:f>
              <c:numCache>
                <c:formatCode>General</c:formatCode>
                <c:ptCount val="2"/>
                <c:pt idx="0">
                  <c:v>264392</c:v>
                </c:pt>
                <c:pt idx="1">
                  <c:v>8770694</c:v>
                </c:pt>
              </c:numCache>
            </c:numRef>
          </c:val>
        </c:ser>
        <c:ser>
          <c:idx val="2"/>
          <c:order val="2"/>
          <c:tx>
            <c:strRef>
              <c:f>Hoja1!$D$1</c:f>
              <c:strCache>
                <c:ptCount val="1"/>
                <c:pt idx="0">
                  <c:v>Ppto Definitivo</c:v>
                </c:pt>
              </c:strCache>
            </c:strRef>
          </c:tx>
          <c:invertIfNegative val="0"/>
          <c:cat>
            <c:strRef>
              <c:f>Hoja1!$A$2:$A$3</c:f>
              <c:strCache>
                <c:ptCount val="2"/>
                <c:pt idx="0">
                  <c:v>Gastos de Funcionamiento</c:v>
                </c:pt>
                <c:pt idx="1">
                  <c:v>Gastos de Inversion</c:v>
                </c:pt>
              </c:strCache>
            </c:strRef>
          </c:cat>
          <c:val>
            <c:numRef>
              <c:f>Hoja1!$D$2:$D$3</c:f>
              <c:numCache>
                <c:formatCode>General</c:formatCode>
                <c:ptCount val="2"/>
                <c:pt idx="0">
                  <c:v>3374169</c:v>
                </c:pt>
                <c:pt idx="1">
                  <c:v>19266103</c:v>
                </c:pt>
              </c:numCache>
            </c:numRef>
          </c:val>
        </c:ser>
        <c:dLbls>
          <c:showLegendKey val="0"/>
          <c:showVal val="0"/>
          <c:showCatName val="0"/>
          <c:showSerName val="0"/>
          <c:showPercent val="0"/>
          <c:showBubbleSize val="0"/>
        </c:dLbls>
        <c:gapWidth val="150"/>
        <c:axId val="1952559136"/>
        <c:axId val="1952569472"/>
      </c:barChart>
      <c:catAx>
        <c:axId val="1952559136"/>
        <c:scaling>
          <c:orientation val="minMax"/>
        </c:scaling>
        <c:delete val="0"/>
        <c:axPos val="b"/>
        <c:numFmt formatCode="General" sourceLinked="0"/>
        <c:majorTickMark val="out"/>
        <c:minorTickMark val="none"/>
        <c:tickLblPos val="nextTo"/>
        <c:crossAx val="1952569472"/>
        <c:crosses val="autoZero"/>
        <c:auto val="1"/>
        <c:lblAlgn val="ctr"/>
        <c:lblOffset val="100"/>
        <c:noMultiLvlLbl val="0"/>
      </c:catAx>
      <c:valAx>
        <c:axId val="1952569472"/>
        <c:scaling>
          <c:orientation val="minMax"/>
        </c:scaling>
        <c:delete val="0"/>
        <c:axPos val="l"/>
        <c:majorGridlines/>
        <c:numFmt formatCode="General" sourceLinked="1"/>
        <c:majorTickMark val="out"/>
        <c:minorTickMark val="none"/>
        <c:tickLblPos val="nextTo"/>
        <c:crossAx val="1952559136"/>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4"/>
    </mc:Choice>
    <mc:Fallback>
      <c:style val="4"/>
    </mc:Fallback>
  </mc:AlternateContent>
  <c:chart>
    <c:title>
      <c:tx>
        <c:rich>
          <a:bodyPr/>
          <a:lstStyle/>
          <a:p>
            <a:pPr>
              <a:defRPr/>
            </a:pPr>
            <a:r>
              <a:rPr lang="en-US"/>
              <a:t>Adiciones Gasto</a:t>
            </a:r>
            <a:r>
              <a:rPr lang="en-US" baseline="0"/>
              <a:t>s de Inversión</a:t>
            </a:r>
            <a:endParaRPr lang="en-US"/>
          </a:p>
        </c:rich>
      </c:tx>
      <c:layout/>
      <c:overlay val="0"/>
    </c:title>
    <c:autoTitleDeleted val="0"/>
    <c:plotArea>
      <c:layout/>
      <c:barChart>
        <c:barDir val="col"/>
        <c:grouping val="clustered"/>
        <c:varyColors val="0"/>
        <c:ser>
          <c:idx val="0"/>
          <c:order val="0"/>
          <c:tx>
            <c:v>Adiciones</c:v>
          </c:tx>
          <c:invertIfNegative val="0"/>
          <c:cat>
            <c:strRef>
              <c:f>'GRAFICO-GTOS'!$B$42:$B$51</c:f>
              <c:strCache>
                <c:ptCount val="10"/>
                <c:pt idx="0">
                  <c:v>Gobierno</c:v>
                </c:pt>
                <c:pt idx="1">
                  <c:v>cultura</c:v>
                </c:pt>
                <c:pt idx="2">
                  <c:v>Transporte</c:v>
                </c:pt>
                <c:pt idx="3">
                  <c:v>Deporte</c:v>
                </c:pt>
                <c:pt idx="4">
                  <c:v>Grupos Vulnerables</c:v>
                </c:pt>
                <c:pt idx="5">
                  <c:v>Sector Educación</c:v>
                </c:pt>
                <c:pt idx="6">
                  <c:v>Agua potable y Saneamiento Básico</c:v>
                </c:pt>
                <c:pt idx="7">
                  <c:v>Justicia</c:v>
                </c:pt>
                <c:pt idx="8">
                  <c:v>Fondos Especiales- Salud</c:v>
                </c:pt>
                <c:pt idx="9">
                  <c:v>Sistema General de Regalías</c:v>
                </c:pt>
              </c:strCache>
            </c:strRef>
          </c:cat>
          <c:val>
            <c:numRef>
              <c:f>'GRAFICO-GTOS'!$C$42:$C$51</c:f>
              <c:numCache>
                <c:formatCode>_(* #,##0.00_);_(* \(#,##0.00\);_(* "-"??_);_(@_)</c:formatCode>
                <c:ptCount val="10"/>
                <c:pt idx="0">
                  <c:v>38535879</c:v>
                </c:pt>
                <c:pt idx="1">
                  <c:v>163045231</c:v>
                </c:pt>
                <c:pt idx="2">
                  <c:v>199323796</c:v>
                </c:pt>
                <c:pt idx="3">
                  <c:v>217093698</c:v>
                </c:pt>
                <c:pt idx="4">
                  <c:v>256945517</c:v>
                </c:pt>
                <c:pt idx="5">
                  <c:v>310911348</c:v>
                </c:pt>
                <c:pt idx="6">
                  <c:v>595243656</c:v>
                </c:pt>
                <c:pt idx="7">
                  <c:v>739500000</c:v>
                </c:pt>
                <c:pt idx="8">
                  <c:v>775001187</c:v>
                </c:pt>
                <c:pt idx="9">
                  <c:v>1838448023</c:v>
                </c:pt>
              </c:numCache>
            </c:numRef>
          </c:val>
        </c:ser>
        <c:dLbls>
          <c:showLegendKey val="0"/>
          <c:showVal val="0"/>
          <c:showCatName val="0"/>
          <c:showSerName val="0"/>
          <c:showPercent val="0"/>
          <c:showBubbleSize val="0"/>
        </c:dLbls>
        <c:gapWidth val="150"/>
        <c:axId val="1952565120"/>
        <c:axId val="1952561856"/>
      </c:barChart>
      <c:catAx>
        <c:axId val="1952565120"/>
        <c:scaling>
          <c:orientation val="minMax"/>
        </c:scaling>
        <c:delete val="0"/>
        <c:axPos val="b"/>
        <c:numFmt formatCode="General" sourceLinked="0"/>
        <c:majorTickMark val="out"/>
        <c:minorTickMark val="none"/>
        <c:tickLblPos val="nextTo"/>
        <c:crossAx val="1952561856"/>
        <c:crosses val="autoZero"/>
        <c:auto val="1"/>
        <c:lblAlgn val="ctr"/>
        <c:lblOffset val="100"/>
        <c:noMultiLvlLbl val="0"/>
      </c:catAx>
      <c:valAx>
        <c:axId val="1952561856"/>
        <c:scaling>
          <c:orientation val="minMax"/>
        </c:scaling>
        <c:delete val="0"/>
        <c:axPos val="l"/>
        <c:majorGridlines/>
        <c:numFmt formatCode="_(* #,##0.00_);_(* \(#,##0.00\);_(* &quot;-&quot;??_);_(@_)" sourceLinked="1"/>
        <c:majorTickMark val="out"/>
        <c:minorTickMark val="none"/>
        <c:tickLblPos val="nextTo"/>
        <c:crossAx val="1952565120"/>
        <c:crosses val="autoZero"/>
        <c:crossBetween val="between"/>
      </c:valAx>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FC870B-554A-481A-8148-3DDF3DBDF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6117</TotalTime>
  <Pages>16</Pages>
  <Words>2247</Words>
  <Characters>12364</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14582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 de Windows</dc:creator>
  <cp:lastModifiedBy>USER</cp:lastModifiedBy>
  <cp:revision>174</cp:revision>
  <cp:lastPrinted>2016-12-25T22:30:00Z</cp:lastPrinted>
  <dcterms:created xsi:type="dcterms:W3CDTF">2016-07-21T21:23:00Z</dcterms:created>
  <dcterms:modified xsi:type="dcterms:W3CDTF">2016-12-25T22:30:00Z</dcterms:modified>
</cp:coreProperties>
</file>